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91" w:rsidRDefault="009D1791" w:rsidP="00E4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es-EC"/>
        </w:rPr>
      </w:pPr>
    </w:p>
    <w:p w:rsidR="009D1791" w:rsidRDefault="009D1791" w:rsidP="00E4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es-EC"/>
        </w:rPr>
      </w:pPr>
    </w:p>
    <w:p w:rsidR="0053749B" w:rsidRDefault="008E6FF7" w:rsidP="00E4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es-EC"/>
        </w:rPr>
        <w:t>Guía</w:t>
      </w:r>
      <w:r w:rsidR="000D4994">
        <w:rPr>
          <w:rFonts w:ascii="Times New Roman" w:eastAsia="Times New Roman" w:hAnsi="Times New Roman" w:cs="Times New Roman"/>
          <w:b/>
          <w:i/>
          <w:sz w:val="32"/>
          <w:szCs w:val="24"/>
          <w:lang w:eastAsia="es-EC"/>
        </w:rPr>
        <w:t xml:space="preserve">  General sobre</w:t>
      </w:r>
      <w:r w:rsidR="00E46257">
        <w:rPr>
          <w:rFonts w:ascii="Times New Roman" w:eastAsia="Times New Roman" w:hAnsi="Times New Roman" w:cs="Times New Roman"/>
          <w:b/>
          <w:i/>
          <w:sz w:val="32"/>
          <w:szCs w:val="24"/>
          <w:lang w:eastAsia="es-EC"/>
        </w:rPr>
        <w:t xml:space="preserve"> la implementación de la Autoevaluación </w:t>
      </w:r>
      <w:r w:rsidR="00BC7DB2">
        <w:rPr>
          <w:rFonts w:ascii="Times New Roman" w:eastAsia="Times New Roman" w:hAnsi="Times New Roman" w:cs="Times New Roman"/>
          <w:b/>
          <w:i/>
          <w:sz w:val="32"/>
          <w:szCs w:val="24"/>
          <w:lang w:eastAsia="es-EC"/>
        </w:rPr>
        <w:t xml:space="preserve">Institucional </w:t>
      </w:r>
      <w:r w:rsidR="00E46257">
        <w:rPr>
          <w:rFonts w:ascii="Times New Roman" w:eastAsia="Times New Roman" w:hAnsi="Times New Roman" w:cs="Times New Roman"/>
          <w:b/>
          <w:i/>
          <w:sz w:val="32"/>
          <w:szCs w:val="24"/>
          <w:lang w:eastAsia="es-EC"/>
        </w:rPr>
        <w:t xml:space="preserve">Acompañada 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es-EC"/>
        </w:rPr>
        <w:t xml:space="preserve">por el CEAACES </w:t>
      </w:r>
    </w:p>
    <w:p w:rsidR="00E46257" w:rsidRPr="00184D89" w:rsidRDefault="00E46257" w:rsidP="00184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es-EC"/>
        </w:rPr>
      </w:pPr>
    </w:p>
    <w:p w:rsidR="0053749B" w:rsidRPr="0053749B" w:rsidRDefault="00000BAA" w:rsidP="0018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actividad de Autoevaluació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n </w:t>
      </w:r>
      <w:r w:rsidR="00BC7D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Institucional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Acompañada por el CEAACES es</w:t>
      </w:r>
      <w:r w:rsidR="008E6FF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vital</w:t>
      </w:r>
      <w:r w:rsidR="00184D8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importancia para compro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meter  de forma co</w:t>
      </w:r>
      <w:r w:rsidR="008E6FF7">
        <w:rPr>
          <w:rFonts w:ascii="Times New Roman" w:eastAsia="Times New Roman" w:hAnsi="Times New Roman" w:cs="Times New Roman"/>
          <w:sz w:val="24"/>
          <w:szCs w:val="24"/>
          <w:lang w:eastAsia="es-EC"/>
        </w:rPr>
        <w:t>nsciente</w:t>
      </w:r>
      <w:r w:rsidR="00602206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la Comunidad U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niversitaria: autoridades de los diferentes niveles, especialmente a nivel de bas</w:t>
      </w:r>
      <w:r w:rsidR="00C269D1">
        <w:rPr>
          <w:rFonts w:ascii="Times New Roman" w:eastAsia="Times New Roman" w:hAnsi="Times New Roman" w:cs="Times New Roman"/>
          <w:sz w:val="24"/>
          <w:szCs w:val="24"/>
          <w:lang w:eastAsia="es-EC"/>
        </w:rPr>
        <w:t>e carrera, estudiantes, profesores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empleados y trabajadores. La primera sugerencia es socializar </w:t>
      </w:r>
      <w:r w:rsidR="00BC7D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realización de la actividad en la comunidad universitaria y en 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el entorno por</w:t>
      </w:r>
      <w:r w:rsidR="00BC7D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los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actores </w:t>
      </w:r>
      <w:r w:rsidR="00BC7D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claves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de la IES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El Acompañamiento es esencialmente  </w:t>
      </w:r>
      <w:r w:rsidR="0053749B" w:rsidRPr="008E6FF7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orientación, apoyo, profesionalidad, transparencia y ética desarrollada en co</w:t>
      </w:r>
      <w:r w:rsidR="00184D89" w:rsidRPr="008E6FF7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n</w:t>
      </w:r>
      <w:r w:rsidR="0053749B" w:rsidRPr="008E6FF7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j</w:t>
      </w:r>
      <w:r w:rsidR="00BC7DB2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unto </w:t>
      </w:r>
      <w:r w:rsidR="00BC7DB2" w:rsidRPr="00BC7DB2">
        <w:rPr>
          <w:rFonts w:ascii="Times New Roman" w:eastAsia="Times New Roman" w:hAnsi="Times New Roman" w:cs="Times New Roman"/>
          <w:sz w:val="24"/>
          <w:szCs w:val="24"/>
          <w:lang w:eastAsia="es-EC"/>
        </w:rPr>
        <w:t>con</w:t>
      </w:r>
      <w:r w:rsidR="00BC7DB2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 </w:t>
      </w:r>
      <w:r w:rsidR="00C12A6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</w:t>
      </w:r>
      <w:r w:rsidR="00BC7D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Comisión de Autoevaluación</w:t>
      </w:r>
      <w:bookmarkStart w:id="0" w:name="_GoBack"/>
      <w:bookmarkEnd w:id="0"/>
      <w:r w:rsidR="00C269D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</w:t>
      </w:r>
      <w:r w:rsidR="00BC7D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602206">
        <w:rPr>
          <w:rFonts w:ascii="Times New Roman" w:eastAsia="Times New Roman" w:hAnsi="Times New Roman" w:cs="Times New Roman"/>
          <w:sz w:val="24"/>
          <w:szCs w:val="24"/>
          <w:lang w:eastAsia="es-EC"/>
        </w:rPr>
        <w:t>sus</w:t>
      </w:r>
      <w:r w:rsidR="00C269D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Equipos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BC7D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 </w:t>
      </w:r>
      <w:proofErr w:type="spellStart"/>
      <w:r w:rsidR="00BC7DB2">
        <w:rPr>
          <w:rFonts w:ascii="Times New Roman" w:eastAsia="Times New Roman" w:hAnsi="Times New Roman" w:cs="Times New Roman"/>
          <w:sz w:val="24"/>
          <w:szCs w:val="24"/>
          <w:lang w:eastAsia="es-EC"/>
        </w:rPr>
        <w:t>Autoevaluadores</w:t>
      </w:r>
      <w:proofErr w:type="spellEnd"/>
      <w:r w:rsidR="00BC7D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colaborativos</w:t>
      </w:r>
      <w:r w:rsidR="00602206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se conformen con miembros de la  C</w:t>
      </w:r>
      <w:r w:rsidR="00C269D1">
        <w:rPr>
          <w:rFonts w:ascii="Times New Roman" w:eastAsia="Times New Roman" w:hAnsi="Times New Roman" w:cs="Times New Roman"/>
          <w:sz w:val="24"/>
          <w:szCs w:val="24"/>
          <w:lang w:eastAsia="es-EC"/>
        </w:rPr>
        <w:t>omunidad Universitaria</w:t>
      </w:r>
      <w:r w:rsidR="00BC7D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con participación de pares </w:t>
      </w:r>
      <w:proofErr w:type="spellStart"/>
      <w:r w:rsidR="00BC7DB2">
        <w:rPr>
          <w:rFonts w:ascii="Times New Roman" w:eastAsia="Times New Roman" w:hAnsi="Times New Roman" w:cs="Times New Roman"/>
          <w:sz w:val="24"/>
          <w:szCs w:val="24"/>
          <w:lang w:eastAsia="es-EC"/>
        </w:rPr>
        <w:t>autoevaluadores</w:t>
      </w:r>
      <w:proofErr w:type="spellEnd"/>
      <w:r w:rsidR="00BC7DB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colaborativos de IES ecuatorianas solidarias</w:t>
      </w:r>
      <w:r w:rsidR="00C269D1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Esta Comisión 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la dirige el Rector y los resultados son a los que ha</w:t>
      </w:r>
      <w:r w:rsidR="00602206">
        <w:rPr>
          <w:rFonts w:ascii="Times New Roman" w:eastAsia="Times New Roman" w:hAnsi="Times New Roman" w:cs="Times New Roman"/>
          <w:sz w:val="24"/>
          <w:szCs w:val="24"/>
          <w:lang w:eastAsia="es-EC"/>
        </w:rPr>
        <w:t>n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llegado los propios actores de la autoevaluación con la co</w:t>
      </w:r>
      <w:r w:rsidR="00602206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laboración de 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C269D1">
        <w:rPr>
          <w:rFonts w:ascii="Times New Roman" w:eastAsia="Times New Roman" w:hAnsi="Times New Roman" w:cs="Times New Roman"/>
          <w:sz w:val="24"/>
          <w:szCs w:val="24"/>
          <w:lang w:eastAsia="es-EC"/>
        </w:rPr>
        <w:t>pares académicos (</w:t>
      </w:r>
      <w:proofErr w:type="spellStart"/>
      <w:r w:rsidR="00C269D1">
        <w:rPr>
          <w:rFonts w:ascii="Times New Roman" w:eastAsia="Times New Roman" w:hAnsi="Times New Roman" w:cs="Times New Roman"/>
          <w:sz w:val="24"/>
          <w:szCs w:val="24"/>
          <w:lang w:eastAsia="es-EC"/>
        </w:rPr>
        <w:t>autoevaluadores</w:t>
      </w:r>
      <w:proofErr w:type="spellEnd"/>
      <w:r w:rsidR="00C269D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) 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seleccionados de otras IES ecuatorian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as</w:t>
      </w:r>
      <w:r w:rsidR="00602206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C269D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han participado en este tipo de ejercicio como pilotaje. La participación de ellos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se gestionará por la Institución </w:t>
      </w:r>
      <w:r w:rsidR="00C269D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Autoevaluada 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para elevar la calidad aún más del propi</w:t>
      </w:r>
      <w:r w:rsidR="008E6FF7">
        <w:rPr>
          <w:rFonts w:ascii="Times New Roman" w:eastAsia="Times New Roman" w:hAnsi="Times New Roman" w:cs="Times New Roman"/>
          <w:sz w:val="24"/>
          <w:szCs w:val="24"/>
          <w:lang w:eastAsia="es-EC"/>
        </w:rPr>
        <w:t>o proceso, y al mismo tiempo lograr la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C269D1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capacitación de las autoridades principales y profesores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de la propia IES autoevaluada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y, por tanto,  se multiplican los </w:t>
      </w:r>
      <w:r w:rsidR="00C269D1">
        <w:rPr>
          <w:rFonts w:ascii="Times New Roman" w:eastAsia="Times New Roman" w:hAnsi="Times New Roman" w:cs="Times New Roman"/>
          <w:sz w:val="24"/>
          <w:szCs w:val="24"/>
          <w:lang w:eastAsia="es-EC"/>
        </w:rPr>
        <w:t>profesores pares académicos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proofErr w:type="spellStart"/>
      <w:r w:rsidR="00602206">
        <w:rPr>
          <w:rFonts w:ascii="Times New Roman" w:eastAsia="Times New Roman" w:hAnsi="Times New Roman" w:cs="Times New Roman"/>
          <w:sz w:val="24"/>
          <w:szCs w:val="24"/>
          <w:lang w:eastAsia="es-EC"/>
        </w:rPr>
        <w:t>autoevaluadores</w:t>
      </w:r>
      <w:proofErr w:type="spellEnd"/>
      <w:r w:rsidR="00602206">
        <w:rPr>
          <w:rFonts w:ascii="Times New Roman" w:eastAsia="Times New Roman" w:hAnsi="Times New Roman" w:cs="Times New Roman"/>
          <w:sz w:val="24"/>
          <w:szCs w:val="24"/>
          <w:lang w:eastAsia="es-EC"/>
        </w:rPr>
        <w:t>,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trasladando las mejores experiencias y "buenas práctica</w:t>
      </w:r>
      <w:r w:rsidR="00C269D1">
        <w:rPr>
          <w:rFonts w:ascii="Times New Roman" w:eastAsia="Times New Roman" w:hAnsi="Times New Roman" w:cs="Times New Roman"/>
          <w:sz w:val="24"/>
          <w:szCs w:val="24"/>
          <w:lang w:eastAsia="es-EC"/>
        </w:rPr>
        <w:t>s" a sus instituciones respectivas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53749B" w:rsidRPr="0053749B" w:rsidRDefault="0053749B" w:rsidP="0018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53749B" w:rsidRPr="008E6FF7" w:rsidRDefault="00184D89" w:rsidP="00184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La Autoevaluación  se está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fortaleciendo por el CEAACES como una de las </w:t>
      </w:r>
      <w:r w:rsidR="0053749B" w:rsidRPr="00000BAA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vías fundamentales para el Aseguramiento de la Calidad Universitaria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por su objetividad e incremento del nivel de compromiso de la comunidad universitaria como el resul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t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ado principal</w:t>
      </w:r>
      <w:r w:rsidR="00AC010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esta ac</w:t>
      </w:r>
      <w:r w:rsidR="00602206">
        <w:rPr>
          <w:rFonts w:ascii="Times New Roman" w:eastAsia="Times New Roman" w:hAnsi="Times New Roman" w:cs="Times New Roman"/>
          <w:sz w:val="24"/>
          <w:szCs w:val="24"/>
          <w:lang w:eastAsia="es-EC"/>
        </w:rPr>
        <w:t>tividad. Se han realizado cinco</w:t>
      </w:r>
      <w:r w:rsidR="00000BA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pilotaje</w:t>
      </w:r>
      <w:r w:rsidR="00AC0108">
        <w:rPr>
          <w:rFonts w:ascii="Times New Roman" w:eastAsia="Times New Roman" w:hAnsi="Times New Roman" w:cs="Times New Roman"/>
          <w:sz w:val="24"/>
          <w:szCs w:val="24"/>
          <w:lang w:eastAsia="es-EC"/>
        </w:rPr>
        <w:t>s a</w:t>
      </w:r>
      <w:r w:rsidR="00000BA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IES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ha</w:t>
      </w:r>
      <w:r w:rsidR="00AC0108">
        <w:rPr>
          <w:rFonts w:ascii="Times New Roman" w:eastAsia="Times New Roman" w:hAnsi="Times New Roman" w:cs="Times New Roman"/>
          <w:sz w:val="24"/>
          <w:szCs w:val="24"/>
          <w:lang w:eastAsia="es-EC"/>
        </w:rPr>
        <w:t>n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sido muy beneficioso para su comunidad universitaria y se reveló   con objetividad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situación real de la institución y donde están los aspectos esenciales que deben ser priorizados para avanzar de una forma más dinámica y comprometida, y al mismo tiempo se definió la </w:t>
      </w:r>
      <w:r w:rsidR="0053749B" w:rsidRPr="00184D89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tendencia  cuantitativa de la calidad  del desempeño </w:t>
      </w:r>
      <w:r w:rsidR="00000BAA">
        <w:rPr>
          <w:rFonts w:ascii="Times New Roman" w:eastAsia="Times New Roman" w:hAnsi="Times New Roman" w:cs="Times New Roman"/>
          <w:sz w:val="24"/>
          <w:szCs w:val="24"/>
          <w:lang w:eastAsia="es-EC"/>
        </w:rPr>
        <w:t>de la IES autoevalu</w:t>
      </w:r>
      <w:r w:rsidR="00AC0108">
        <w:rPr>
          <w:rFonts w:ascii="Times New Roman" w:eastAsia="Times New Roman" w:hAnsi="Times New Roman" w:cs="Times New Roman"/>
          <w:sz w:val="24"/>
          <w:szCs w:val="24"/>
          <w:lang w:eastAsia="es-EC"/>
        </w:rPr>
        <w:t>ada con a</w:t>
      </w:r>
      <w:r w:rsidR="00000BAA">
        <w:rPr>
          <w:rFonts w:ascii="Times New Roman" w:eastAsia="Times New Roman" w:hAnsi="Times New Roman" w:cs="Times New Roman"/>
          <w:sz w:val="24"/>
          <w:szCs w:val="24"/>
          <w:lang w:eastAsia="es-EC"/>
        </w:rPr>
        <w:t>compañamiento</w:t>
      </w:r>
      <w:r w:rsidR="00AC010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por el CEAACES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de modo que se puedan  tomar medidas acertadas y oportunas con vistas a la </w:t>
      </w:r>
      <w:proofErr w:type="spellStart"/>
      <w:r w:rsidR="0053749B" w:rsidRPr="008E6FF7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recategorización</w:t>
      </w:r>
      <w:proofErr w:type="spellEnd"/>
      <w:r w:rsidR="0053749B" w:rsidRPr="008E6FF7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 exitosa camino a la cultura de la excelencia.</w:t>
      </w:r>
    </w:p>
    <w:p w:rsidR="0053749B" w:rsidRPr="008E6FF7" w:rsidRDefault="0053749B" w:rsidP="00184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</w:pPr>
    </w:p>
    <w:p w:rsidR="0053749B" w:rsidRPr="0053749B" w:rsidRDefault="0053749B" w:rsidP="0018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Sugerimos que es importante  el estudio profundo de  la Metodología </w:t>
      </w:r>
      <w:r w:rsidR="00AC010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procedimental </w:t>
      </w:r>
      <w:r w:rsidR="00184D8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general que aún está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  per</w:t>
      </w:r>
      <w:r w:rsidR="00602206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feccionamiento. Se trata de un </w:t>
      </w:r>
      <w:r w:rsidR="00602206" w:rsidRPr="00602206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T</w:t>
      </w:r>
      <w:r w:rsidRPr="00602206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rabajo</w:t>
      </w:r>
      <w:r w:rsidR="00000BAA" w:rsidRPr="00602206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 en Equipo</w:t>
      </w:r>
      <w:r w:rsidR="00000BA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por cada uno de los seis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criterios establecidos por el Modelo</w:t>
      </w:r>
      <w:r w:rsidR="00000BA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8E6FF7">
        <w:rPr>
          <w:rFonts w:ascii="Times New Roman" w:eastAsia="Times New Roman" w:hAnsi="Times New Roman" w:cs="Times New Roman"/>
          <w:sz w:val="24"/>
          <w:szCs w:val="24"/>
          <w:lang w:eastAsia="es-EC"/>
        </w:rPr>
        <w:t>de Evaluación y Acreditación</w:t>
      </w:r>
      <w:r w:rsidR="00000BA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CEAACES 2015</w:t>
      </w:r>
      <w:r w:rsidR="00602206">
        <w:rPr>
          <w:rFonts w:ascii="Times New Roman" w:eastAsia="Times New Roman" w:hAnsi="Times New Roman" w:cs="Times New Roman"/>
          <w:sz w:val="24"/>
          <w:szCs w:val="24"/>
          <w:lang w:eastAsia="es-EC"/>
        </w:rPr>
        <w:t>, es decir, a nivel particular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un Equipo a ni</w:t>
      </w:r>
      <w:r w:rsidR="00000BAA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vel </w:t>
      </w:r>
      <w:r w:rsidR="00AC010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general </w:t>
      </w:r>
      <w:r w:rsidR="00000BAA">
        <w:rPr>
          <w:rFonts w:ascii="Times New Roman" w:eastAsia="Times New Roman" w:hAnsi="Times New Roman" w:cs="Times New Roman"/>
          <w:sz w:val="24"/>
          <w:szCs w:val="24"/>
          <w:lang w:eastAsia="es-EC"/>
        </w:rPr>
        <w:t>de la Institución. Con este procedimiento</w:t>
      </w:r>
      <w:r w:rsidR="00184D8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observará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n que se </w:t>
      </w:r>
      <w:r w:rsidRPr="00602206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verifica y s</w:t>
      </w:r>
      <w:r w:rsidR="00602206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istematiza información </w:t>
      </w:r>
      <w:proofErr w:type="spellStart"/>
      <w:r w:rsidR="00602206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relevant</w:t>
      </w:r>
      <w:proofErr w:type="spellEnd"/>
      <w:r w:rsidR="00602206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,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 partir de los indicadores cualitativos y cuantitativos que establece el modelo</w:t>
      </w:r>
      <w:r w:rsidR="000A1990">
        <w:rPr>
          <w:rFonts w:ascii="Times New Roman" w:eastAsia="Times New Roman" w:hAnsi="Times New Roman" w:cs="Times New Roman"/>
          <w:sz w:val="24"/>
          <w:szCs w:val="24"/>
          <w:lang w:eastAsia="es-EC"/>
        </w:rPr>
        <w:t>. Deberá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estudiarse con </w:t>
      </w:r>
      <w:r w:rsidRPr="00537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>profundidad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el </w:t>
      </w:r>
      <w:r w:rsidR="000A1990">
        <w:rPr>
          <w:rFonts w:ascii="Times New Roman" w:eastAsia="Times New Roman" w:hAnsi="Times New Roman" w:cs="Times New Roman"/>
          <w:sz w:val="24"/>
          <w:szCs w:val="24"/>
          <w:lang w:eastAsia="es-EC"/>
        </w:rPr>
        <w:t>Modelo de Evaluación Institucional CEAACES 2015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</w:t>
      </w:r>
      <w:r w:rsidR="000A199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pues se trata de implementarlo con </w:t>
      </w:r>
      <w:r w:rsidR="000A1990" w:rsidRPr="008E6FF7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objetividad y profundidad</w:t>
      </w:r>
      <w:r w:rsidR="008E6FF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</w:t>
      </w:r>
      <w:r w:rsidR="000A1990">
        <w:rPr>
          <w:rFonts w:ascii="Times New Roman" w:eastAsia="Times New Roman" w:hAnsi="Times New Roman" w:cs="Times New Roman"/>
          <w:sz w:val="24"/>
          <w:szCs w:val="24"/>
          <w:lang w:eastAsia="es-EC"/>
        </w:rPr>
        <w:t>de este modo se comprenderá aún mejor como pensar y actuar en el desarrollo de los procesos sustantivos en su integración (docencia-investigación-vinculación)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0A199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su concreción en la relación. </w:t>
      </w:r>
      <w:proofErr w:type="gramStart"/>
      <w:r w:rsidR="000A1990" w:rsidRPr="000A1990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creación-innovación-impacto</w:t>
      </w:r>
      <w:proofErr w:type="gramEnd"/>
      <w:r w:rsidR="000A1990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, </w:t>
      </w:r>
      <w:r w:rsidR="000A199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no solo para cumplir con los indicadores sino para caracterizar el </w:t>
      </w:r>
      <w:r w:rsidR="000A1990" w:rsidRPr="000A1990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cómo lograr la calidad de la gestión universitaria camino a la cultura de la excelencia</w:t>
      </w:r>
      <w:r w:rsidR="000A1990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Hay que conformar los 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>equipos de trabajo con los mejores profesores y</w:t>
      </w:r>
      <w:r w:rsidR="008E6FF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prestigio reconocido,  cada equipo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debe ser for</w:t>
      </w:r>
      <w:r w:rsidR="00AC0108">
        <w:rPr>
          <w:rFonts w:ascii="Times New Roman" w:eastAsia="Times New Roman" w:hAnsi="Times New Roman" w:cs="Times New Roman"/>
          <w:sz w:val="24"/>
          <w:szCs w:val="24"/>
          <w:lang w:eastAsia="es-EC"/>
        </w:rPr>
        <w:t>talecido al menos con un par académico (</w:t>
      </w:r>
      <w:proofErr w:type="spellStart"/>
      <w:r w:rsidR="00AC0108">
        <w:rPr>
          <w:rFonts w:ascii="Times New Roman" w:eastAsia="Times New Roman" w:hAnsi="Times New Roman" w:cs="Times New Roman"/>
          <w:sz w:val="24"/>
          <w:szCs w:val="24"/>
          <w:lang w:eastAsia="es-EC"/>
        </w:rPr>
        <w:t>autoevaluador</w:t>
      </w:r>
      <w:proofErr w:type="spellEnd"/>
      <w:r w:rsidR="00AC0108">
        <w:rPr>
          <w:rFonts w:ascii="Times New Roman" w:eastAsia="Times New Roman" w:hAnsi="Times New Roman" w:cs="Times New Roman"/>
          <w:sz w:val="24"/>
          <w:szCs w:val="24"/>
          <w:lang w:eastAsia="es-EC"/>
        </w:rPr>
        <w:t>)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otra IES para  que se integre como un </w:t>
      </w:r>
      <w:proofErr w:type="spellStart"/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autoevaluador</w:t>
      </w:r>
      <w:proofErr w:type="spellEnd"/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0A199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más al equipo de trabajo correspondiente.</w:t>
      </w:r>
    </w:p>
    <w:p w:rsidR="0053749B" w:rsidRPr="0053749B" w:rsidRDefault="0053749B" w:rsidP="0018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53749B" w:rsidRPr="0053749B" w:rsidRDefault="000A1990" w:rsidP="0018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Es importante para el logro exitoso de la Auto</w:t>
      </w:r>
      <w:r w:rsidR="008E6FF7">
        <w:rPr>
          <w:rFonts w:ascii="Times New Roman" w:eastAsia="Times New Roman" w:hAnsi="Times New Roman" w:cs="Times New Roman"/>
          <w:sz w:val="24"/>
          <w:szCs w:val="24"/>
          <w:lang w:eastAsia="es-EC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valuación Acompañada implementar como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procedimient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es-EC"/>
        </w:rPr>
        <w:t>o general el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0A1990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trabajo</w:t>
      </w:r>
      <w:r w:rsidR="0053749B" w:rsidRPr="000A1990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 en equipo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es-EC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generalmente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es-EC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8E6FF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con antelación suficiente al inicio de la Autoevaluación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realizar en el 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CEAACES una b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es-EC"/>
        </w:rPr>
        <w:t>reve capacitación a un pequeño E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quipo de Evaluación Interna d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es-EC"/>
        </w:rPr>
        <w:t>esignado por el Rector,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dirigirá toda la actividad. Lo principal 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es una vez programada la Autoevaluación Acompañada 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iniciar la capacitación  sobre la implementación del modelo de evaluación institucional a los miembros de los equipos que se conformen por cada criterio del modelo y al Comité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General de Evaluación Interna. Al mismo tiempo, es decisivo precisar las </w:t>
      </w:r>
      <w:r w:rsidR="009B5429" w:rsidRPr="009B5429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evidencias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por cada indicador </w:t>
      </w:r>
      <w:r w:rsidR="0053749B" w:rsidRPr="00E9600E">
        <w:rPr>
          <w:rFonts w:ascii="Times New Roman" w:eastAsia="Times New Roman" w:hAnsi="Times New Roman" w:cs="Times New Roman"/>
          <w:sz w:val="24"/>
          <w:szCs w:val="24"/>
          <w:lang w:eastAsia="es-EC"/>
        </w:rPr>
        <w:t>como el</w:t>
      </w:r>
      <w:r w:rsidR="0053749B" w:rsidRPr="009B5429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 Modelo de Evaluación del CEAACES establece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es-EC"/>
        </w:rPr>
        <w:t>, dado que la plataforma GII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ES se abrirá aproximadamente unos 15 días antes del período establecido para la Autoe</w:t>
      </w:r>
      <w:r w:rsidR="00184D89">
        <w:rPr>
          <w:rFonts w:ascii="Times New Roman" w:eastAsia="Times New Roman" w:hAnsi="Times New Roman" w:cs="Times New Roman"/>
          <w:sz w:val="24"/>
          <w:szCs w:val="24"/>
          <w:lang w:eastAsia="es-EC"/>
        </w:rPr>
        <w:t>v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aluación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Acompañada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y puedan subir la información establecida,  que es base para los cálculos y </w:t>
      </w:r>
      <w:r w:rsidR="0053749B" w:rsidRPr="009B5429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precisar cualidades del objeto evaluado</w:t>
      </w:r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para su comparación con el estándar definido en el modelo.</w:t>
      </w:r>
    </w:p>
    <w:p w:rsidR="0053749B" w:rsidRPr="0053749B" w:rsidRDefault="0053749B" w:rsidP="0018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53749B" w:rsidRPr="0053749B" w:rsidRDefault="0053749B" w:rsidP="0018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Observar que hay dos agendas una general </w:t>
      </w:r>
      <w:r w:rsidR="00AC0108">
        <w:rPr>
          <w:rFonts w:ascii="Times New Roman" w:eastAsia="Times New Roman" w:hAnsi="Times New Roman" w:cs="Times New Roman"/>
          <w:sz w:val="24"/>
          <w:szCs w:val="24"/>
          <w:lang w:eastAsia="es-EC"/>
        </w:rPr>
        <w:t>a nivel de la Institución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otra por cada uno de los seis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criterios que se implementará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es-EC"/>
        </w:rPr>
        <w:t>n durante el proceso de  Autoevaluación, su objetivo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 sistematizar información relevante de lo general (</w:t>
      </w:r>
      <w:r w:rsidR="00184D89">
        <w:rPr>
          <w:rFonts w:ascii="Times New Roman" w:eastAsia="Times New Roman" w:hAnsi="Times New Roman" w:cs="Times New Roman"/>
          <w:sz w:val="24"/>
          <w:szCs w:val="24"/>
          <w:lang w:eastAsia="es-EC"/>
        </w:rPr>
        <w:t>institución), a lo particular (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criterios del modelo) y concretarlo en lo singular (informe de Autoevaluación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es-EC"/>
        </w:rPr>
        <w:t>, caracterización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la IES</w:t>
      </w:r>
      <w:r w:rsidR="00AC010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autoevaluada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).</w:t>
      </w:r>
    </w:p>
    <w:p w:rsidR="0053749B" w:rsidRPr="0053749B" w:rsidRDefault="0053749B" w:rsidP="0018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53749B" w:rsidRPr="0053749B" w:rsidRDefault="0053749B" w:rsidP="00184D8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La</w:t>
      </w:r>
      <w:r w:rsidR="00184D8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184D89" w:rsidRPr="009B5429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estructura del informe de Autoe</w:t>
      </w:r>
      <w:r w:rsidRPr="009B5429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valuación</w:t>
      </w:r>
      <w:r w:rsidR="00184D8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sus aspectos esenciales está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es-EC"/>
        </w:rPr>
        <w:t>n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el instru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es-EC"/>
        </w:rPr>
        <w:t>ctivo establecido por el CEAACES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y como Guía 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es-EC"/>
        </w:rPr>
        <w:t>General precisamos lo siguiente.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:rsidR="00184D89" w:rsidRDefault="0053749B" w:rsidP="009B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37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>A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: </w:t>
      </w:r>
      <w:r w:rsidRPr="0053749B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Datos generales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(ver instructivo); </w:t>
      </w:r>
      <w:r w:rsidRPr="00537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>B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: </w:t>
      </w:r>
      <w:r w:rsidRPr="0053749B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Resumen Ejecutivo</w:t>
      </w:r>
      <w:r w:rsidR="00184D8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sobre la IES (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ver ejemplo en el instructivo);</w:t>
      </w:r>
      <w:r w:rsidRPr="0053749B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C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</w:t>
      </w:r>
      <w:r w:rsidRPr="0053749B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Debilidades y Fortalezas</w:t>
      </w:r>
      <w:r w:rsidR="00E4625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es-EC"/>
        </w:rPr>
        <w:t>por cada uno de los seis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Criterios establecid</w:t>
      </w:r>
      <w:r w:rsidR="00184D8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os en el Modelo se elabora un 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extracto sobre el análisis realizado acerca del Criterio siguiendo cada uno de los indicadores establecidos cualitativos y cuantitativos. Al final del extracto sobre el Criterio se relacionan las fundamentales  Debilidades y Fortalezas; </w:t>
      </w:r>
      <w:r w:rsidRPr="00537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>D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: </w:t>
      </w:r>
      <w:r w:rsidRPr="0053749B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Autoevaluación de Criterios del Modelo de Evaluación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CEAACES </w:t>
      </w:r>
    </w:p>
    <w:p w:rsidR="0053749B" w:rsidRDefault="00184D89" w:rsidP="009B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(</w:t>
      </w:r>
      <w:proofErr w:type="gramStart"/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>por</w:t>
      </w:r>
      <w:proofErr w:type="gramEnd"/>
      <w:r w:rsidR="0053749B"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cada Criterio se elabora una Tabla como sigue:</w:t>
      </w:r>
    </w:p>
    <w:p w:rsidR="0053749B" w:rsidRPr="0053749B" w:rsidRDefault="0053749B" w:rsidP="0018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537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>Indicador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(denominada variable en el instructivo) - </w:t>
      </w:r>
      <w:r w:rsidRPr="00537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>Tipo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- </w:t>
      </w:r>
      <w:r w:rsidRPr="00537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 xml:space="preserve">Definición 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del estándar - </w:t>
      </w:r>
      <w:r w:rsidRPr="00537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>Valoración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- </w:t>
      </w:r>
      <w:r w:rsidRPr="00537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>Sustentación y/u observaciones)</w:t>
      </w:r>
      <w:r w:rsidR="00AC0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>;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la</w:t>
      </w:r>
      <w:r w:rsidRPr="00537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 xml:space="preserve"> E: </w:t>
      </w:r>
      <w:r w:rsidRPr="009B54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C"/>
        </w:rPr>
        <w:t xml:space="preserve">Conclusiones </w:t>
      </w:r>
      <w:r w:rsidRPr="0053749B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(sistematización de las fortalezas y debilidades conformadas como aspectos esenciales  que deberán ser prioriz</w:t>
      </w:r>
      <w:r w:rsidR="00E46257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a</w:t>
      </w:r>
      <w:r w:rsidRPr="0053749B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dos por la institución, y que servirán de base para elaborar el plan de mejoras, de fortalecimiento institucional para la </w:t>
      </w:r>
      <w:proofErr w:type="spellStart"/>
      <w:r w:rsidRPr="0053749B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recategorización</w:t>
      </w:r>
      <w:proofErr w:type="spellEnd"/>
      <w:r w:rsidRPr="0053749B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exitosa camino</w:t>
      </w:r>
      <w:r w:rsidR="00AC0108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a la cultura de la excelencia); finalmente la </w:t>
      </w:r>
      <w:r w:rsidR="00AC0108" w:rsidRPr="00AC01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C"/>
        </w:rPr>
        <w:t>D: Recomendaciones</w:t>
      </w:r>
      <w:r w:rsidR="00AC0108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fundamentadas en las conclusiones.</w:t>
      </w:r>
      <w:r w:rsidRPr="0053749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:rsidR="0053749B" w:rsidRPr="0053749B" w:rsidRDefault="0053749B" w:rsidP="0018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53749B" w:rsidRDefault="000D4994" w:rsidP="00184D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Cualquier duda que se</w:t>
      </w:r>
      <w:r w:rsidR="00E9600E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presente</w:t>
      </w:r>
      <w:r w:rsidR="0053749B" w:rsidRPr="0053749B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en la dinámica de preparación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y consecución </w:t>
      </w:r>
      <w:r w:rsidR="0053749B" w:rsidRPr="0053749B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de la Autoevaluación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Acompañada por el CEAACES </w:t>
      </w:r>
      <w:r w:rsidR="0053749B" w:rsidRPr="0053749B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en 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n  trabajo conjunto con la IES Autoevaluada, se comunican con </w:t>
      </w:r>
      <w:r w:rsidR="00E46257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Á</w:t>
      </w:r>
      <w:r w:rsidR="0053749B" w:rsidRPr="0053749B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ngel Naranjo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Rubio (098 226 5092</w:t>
      </w:r>
      <w:r w:rsidR="0053749B" w:rsidRPr="0053749B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o Jesús Lazo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Machado (098 260 8980,</w:t>
      </w:r>
      <w:r w:rsidR="0053749B" w:rsidRPr="0053749B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)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de modo  que podamos solventarla oportunamente</w:t>
      </w:r>
      <w:r w:rsidR="0053749B" w:rsidRPr="0053749B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. </w:t>
      </w:r>
    </w:p>
    <w:p w:rsidR="000D4994" w:rsidRDefault="000D4994" w:rsidP="00184D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</w:pPr>
    </w:p>
    <w:p w:rsidR="0053749B" w:rsidRPr="0053749B" w:rsidRDefault="0053749B" w:rsidP="0018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5575DA" w:rsidRDefault="005575DA" w:rsidP="00184D89">
      <w:pPr>
        <w:jc w:val="both"/>
      </w:pPr>
    </w:p>
    <w:sectPr w:rsidR="00557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E7" w:rsidRDefault="002169E7" w:rsidP="009D1791">
      <w:pPr>
        <w:spacing w:after="0" w:line="240" w:lineRule="auto"/>
      </w:pPr>
      <w:r>
        <w:separator/>
      </w:r>
    </w:p>
  </w:endnote>
  <w:endnote w:type="continuationSeparator" w:id="0">
    <w:p w:rsidR="002169E7" w:rsidRDefault="002169E7" w:rsidP="009D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91" w:rsidRDefault="009D17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91" w:rsidRDefault="009D179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91" w:rsidRDefault="009D1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E7" w:rsidRDefault="002169E7" w:rsidP="009D1791">
      <w:pPr>
        <w:spacing w:after="0" w:line="240" w:lineRule="auto"/>
      </w:pPr>
      <w:r>
        <w:separator/>
      </w:r>
    </w:p>
  </w:footnote>
  <w:footnote w:type="continuationSeparator" w:id="0">
    <w:p w:rsidR="002169E7" w:rsidRDefault="002169E7" w:rsidP="009D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91" w:rsidRDefault="009D17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91" w:rsidRDefault="009D1791">
    <w:pPr>
      <w:pStyle w:val="Encabezado"/>
    </w:pPr>
    <w:r>
      <w:rPr>
        <w:noProof/>
        <w:lang w:eastAsia="es-EC"/>
      </w:rPr>
      <w:drawing>
        <wp:inline distT="0" distB="0" distL="0" distR="0" wp14:anchorId="1FB1407C" wp14:editId="6E038DEA">
          <wp:extent cx="2122170" cy="335915"/>
          <wp:effectExtent l="0" t="0" r="0" b="6985"/>
          <wp:docPr id="1" name="0 Imagen" descr="image0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170" cy="33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91" w:rsidRDefault="009D1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9B"/>
    <w:rsid w:val="00000BAA"/>
    <w:rsid w:val="000A1990"/>
    <w:rsid w:val="000D4994"/>
    <w:rsid w:val="000E292B"/>
    <w:rsid w:val="00184D89"/>
    <w:rsid w:val="002169E7"/>
    <w:rsid w:val="00380E0F"/>
    <w:rsid w:val="0053749B"/>
    <w:rsid w:val="005575DA"/>
    <w:rsid w:val="00602206"/>
    <w:rsid w:val="008E6FF7"/>
    <w:rsid w:val="009B5429"/>
    <w:rsid w:val="009D1791"/>
    <w:rsid w:val="00AC0108"/>
    <w:rsid w:val="00BC7DB2"/>
    <w:rsid w:val="00C12A6A"/>
    <w:rsid w:val="00C269D1"/>
    <w:rsid w:val="00CA01AD"/>
    <w:rsid w:val="00CD374A"/>
    <w:rsid w:val="00E46257"/>
    <w:rsid w:val="00E9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791"/>
  </w:style>
  <w:style w:type="paragraph" w:styleId="Piedepgina">
    <w:name w:val="footer"/>
    <w:basedOn w:val="Normal"/>
    <w:link w:val="PiedepginaCar"/>
    <w:uiPriority w:val="99"/>
    <w:unhideWhenUsed/>
    <w:rsid w:val="009D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791"/>
  </w:style>
  <w:style w:type="paragraph" w:styleId="Textodeglobo">
    <w:name w:val="Balloon Text"/>
    <w:basedOn w:val="Normal"/>
    <w:link w:val="TextodegloboCar"/>
    <w:uiPriority w:val="99"/>
    <w:semiHidden/>
    <w:unhideWhenUsed/>
    <w:rsid w:val="009D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791"/>
  </w:style>
  <w:style w:type="paragraph" w:styleId="Piedepgina">
    <w:name w:val="footer"/>
    <w:basedOn w:val="Normal"/>
    <w:link w:val="PiedepginaCar"/>
    <w:uiPriority w:val="99"/>
    <w:unhideWhenUsed/>
    <w:rsid w:val="009D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791"/>
  </w:style>
  <w:style w:type="paragraph" w:styleId="Textodeglobo">
    <w:name w:val="Balloon Text"/>
    <w:basedOn w:val="Normal"/>
    <w:link w:val="TextodegloboCar"/>
    <w:uiPriority w:val="99"/>
    <w:semiHidden/>
    <w:unhideWhenUsed/>
    <w:rsid w:val="009D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S. Lazo</dc:creator>
  <cp:lastModifiedBy>Jesús S. Lazo</cp:lastModifiedBy>
  <cp:revision>5</cp:revision>
  <dcterms:created xsi:type="dcterms:W3CDTF">2016-03-23T20:37:00Z</dcterms:created>
  <dcterms:modified xsi:type="dcterms:W3CDTF">2016-03-23T22:02:00Z</dcterms:modified>
</cp:coreProperties>
</file>