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6" w:rsidRDefault="00362D46" w:rsidP="00CA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</w:p>
    <w:p w:rsidR="00362D46" w:rsidRDefault="00362D46" w:rsidP="00CA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</w:p>
    <w:p w:rsidR="00362D46" w:rsidRDefault="00362D46" w:rsidP="00CA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</w:p>
    <w:p w:rsidR="00362D46" w:rsidRDefault="00362D46" w:rsidP="00CA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</w:p>
    <w:p w:rsidR="00CA05BA" w:rsidRDefault="00CA05BA" w:rsidP="00CA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A05BA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GUÍA GENERAL</w:t>
      </w:r>
      <w:r w:rsidR="0032152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 CONFORMACIÓN DE </w:t>
      </w:r>
      <w:r w:rsidR="00321523" w:rsidRPr="00321523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EQUIPOS  AUTOEVALUADORES COLABORATIVOS</w:t>
      </w:r>
      <w:r w:rsidR="0032152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PARES ACADÉMICOS) PARA LA IMPLEMENTACIÓN DE LAS SIETE AGENDAS CORRESPONDIENTES: A NIVEL GENERAL INSTITUCIONAL Y  PARTICULAR POR CADA UNO DE LOS SEIS CRITERIOS DEL MODELO DE EVALUACIÓN INSTITUCIONAL</w:t>
      </w:r>
      <w:r w:rsidR="0032152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CEAACES 2015.</w:t>
      </w:r>
    </w:p>
    <w:p w:rsidR="00CA05BA" w:rsidRDefault="00CA05BA" w:rsidP="003A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3A11DE" w:rsidRPr="000B78BC" w:rsidRDefault="003A11DE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3A11DE" w:rsidRPr="000B78BC" w:rsidRDefault="000B78BC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Con el objetivo de lograr una mejor comprensión del proceso de Autoevaluación Acompañada por el CEAACES es necesario o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bserva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r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la lógica del proceso utilizada, es la lógica de toda investigación para aproximarse a la verdad que c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aracteriza el </w:t>
      </w:r>
      <w:r w:rsidRPr="000B78B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objeto investigado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Proceso de  calidad 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la gestión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del desempeño institucional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), al revelarse durante el proceso  los asp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ectos má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esenciales de </w:t>
      </w:r>
      <w:r w:rsidRPr="000B78B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lo general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 nivel de la IES (agenda a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nivel institucional, es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decir, es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lo general  y esencial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conte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nido que caracteriza a la IES), a lo </w:t>
      </w:r>
      <w:r w:rsidRPr="000B78B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particular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(agendas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criterios, es decir, se determina el contenido que cara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c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teriza cada Criterio y, por tanto,  es la </w:t>
      </w:r>
      <w:r w:rsidR="003A11DE" w:rsidRPr="000B7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verificación y sistematización</w:t>
      </w:r>
      <w:r w:rsidR="003A11DE" w:rsidRPr="000B78BC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del contenido  de todos los criterios que  caracterizará lo general y esencial del objeto investigado, pero como una </w:t>
      </w:r>
      <w:r w:rsidR="003A11DE" w:rsidRPr="000B78BC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constatación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del res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ultado  obtenido  en la implementación de la agenda a nivel institucional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  y </w:t>
      </w:r>
      <w:r w:rsidR="003A11DE" w:rsidRPr="00385E5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lo</w:t>
      </w:r>
      <w:r w:rsidR="00385E57" w:rsidRPr="00385E5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singular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  e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>s  el i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nforme sobre la calidad del desempe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>ño institucional, que observarán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obtiene de la unidad 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dialéctica de lo general y lo particular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, tiene que finalmente expresarse esta dialéctica en la coherencia y sistematización lograda en  el informe final contextual de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 IES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es decir, 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enfa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>tiza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lo </w:t>
      </w:r>
      <w:r w:rsidR="00385E57" w:rsidRPr="00385E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singular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caracterización de la IES en sus </w:t>
      </w:r>
      <w:r w:rsidR="00385E57" w:rsidRPr="00385E5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aspectos más esenciales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expresados en fortalezas y debilidades será el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resultado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un</w:t>
      </w:r>
      <w:r w:rsidR="00ED0FD4" w:rsidRPr="00385E5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  debate académic</w:t>
      </w:r>
      <w:r w:rsidR="003A11DE" w:rsidRPr="00385E5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o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durante la implementación </w:t>
      </w:r>
      <w:r w:rsidR="00385E57" w:rsidRPr="00385E5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profunda del modelo de evaluación institucional CEAACES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entre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proofErr w:type="spellStart"/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evaluados.</w:t>
      </w:r>
    </w:p>
    <w:p w:rsidR="003A11DE" w:rsidRPr="000B78BC" w:rsidRDefault="003A11DE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3A11DE" w:rsidRPr="000B78BC" w:rsidRDefault="00A91273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Se explica e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 fundamento científico del proceso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Autoevaluación Acompañada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por considerarlo imprescindible, es decir, se fundamenta en lógica de la investigación y lógica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las ciencias, para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comprender que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 la </w:t>
      </w:r>
      <w:r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Metodología Procedi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men</w:t>
      </w:r>
      <w:r w:rsidR="000B78BC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t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al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está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implementando, responde a la unidad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dialéctica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del  ni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vel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conocimiento  teórico y  prá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ct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ico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Por ello, el trabajo  de </w:t>
      </w:r>
      <w:r w:rsidR="00ED0FD4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más prof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 xml:space="preserve">undidad </w:t>
      </w:r>
      <w:r w:rsidR="00385E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 xml:space="preserve">y </w:t>
      </w:r>
      <w:r w:rsidR="00385E57" w:rsidRPr="00AC6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generalización esencial</w:t>
      </w:r>
      <w:r w:rsidR="00385E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 xml:space="preserve"> 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en lo académico</w:t>
      </w:r>
      <w:r w:rsidR="00385E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 xml:space="preserve"> es precisamente el de la agenda</w:t>
      </w:r>
      <w:r w:rsidR="003A11DE" w:rsidRPr="000B78BC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 </w:t>
      </w:r>
      <w:r w:rsidRPr="000B78BC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 xml:space="preserve">en el nivel general institucional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y debe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star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integrado 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Equipo 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trabajo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por 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los profesores  pares acadé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micos </w:t>
      </w:r>
      <w:r w:rsidR="003A11DE" w:rsidRPr="00815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EC"/>
        </w:rPr>
        <w:t>(</w:t>
      </w:r>
      <w:proofErr w:type="spellStart"/>
      <w:r w:rsidR="003A11DE" w:rsidRPr="00815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EC"/>
        </w:rPr>
        <w:t>autoevaluadores</w:t>
      </w:r>
      <w:proofErr w:type="spellEnd"/>
      <w:r w:rsidR="008150C7" w:rsidRPr="008150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EC"/>
        </w:rPr>
        <w:t xml:space="preserve"> colaborativos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)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má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experiencia académica, no quiere decir que por criterios no 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exija pr</w:t>
      </w:r>
      <w:r w:rsidR="00385E57">
        <w:rPr>
          <w:rFonts w:ascii="Times New Roman" w:eastAsia="Times New Roman" w:hAnsi="Times New Roman" w:cs="Times New Roman"/>
          <w:sz w:val="24"/>
          <w:szCs w:val="24"/>
          <w:lang w:eastAsia="es-EC"/>
        </w:rPr>
        <w:t>ofundidad en la generalización esencial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, pero es específica en relació</w:t>
      </w:r>
      <w:r w:rsidR="001A1FE6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 a cada Criterio, y la agenda a nivel general institucional es para el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objeto investigado en su totalidad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pero revelando la </w:t>
      </w:r>
      <w:r w:rsidRPr="000B78BC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esencialidad</w:t>
      </w:r>
      <w:r w:rsidR="003A11DE" w:rsidRPr="000B78BC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 xml:space="preserve">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de las cualidade</w:t>
      </w:r>
      <w:r w:rsidR="001A1FE6">
        <w:rPr>
          <w:rFonts w:ascii="Times New Roman" w:eastAsia="Times New Roman" w:hAnsi="Times New Roman" w:cs="Times New Roman"/>
          <w:sz w:val="24"/>
          <w:szCs w:val="24"/>
          <w:lang w:eastAsia="es-EC"/>
        </w:rPr>
        <w:t>s positiva y negativas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, expresadas en fortalezas y debilidades fundam</w:t>
      </w:r>
      <w:r w:rsidR="001A1FE6">
        <w:rPr>
          <w:rFonts w:ascii="Times New Roman" w:eastAsia="Times New Roman" w:hAnsi="Times New Roman" w:cs="Times New Roman"/>
          <w:sz w:val="24"/>
          <w:szCs w:val="24"/>
          <w:lang w:eastAsia="es-EC"/>
        </w:rPr>
        <w:t>entales que caracterizan la IES autoevaluada.</w:t>
      </w:r>
    </w:p>
    <w:p w:rsidR="003A11DE" w:rsidRPr="000B78BC" w:rsidRDefault="003A11DE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3A11DE" w:rsidRDefault="001A1FE6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En lo operativo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el Director de Evalua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ción Interna Institucional es el 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responsable junto con el Rector (</w:t>
      </w:r>
      <w:r w:rsidR="003A11DE" w:rsidRPr="001A1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responsable máximo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) de la conducción general de la autoeval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uación acompañada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siempre el acompañamiento del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CEAACES está en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disposición total para apoyarlos y orientarlos con </w:t>
      </w:r>
      <w:r w:rsidR="003A11DE" w:rsidRPr="001A1FE6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profesionalidad, transparencia y ética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  <w:r w:rsidRPr="001A1FE6">
        <w:rPr>
          <w:rFonts w:ascii="Times New Roman" w:eastAsia="Times New Roman" w:hAnsi="Times New Roman" w:cs="Times New Roman"/>
          <w:sz w:val="24"/>
          <w:szCs w:val="24"/>
          <w:lang w:eastAsia="es-EC"/>
        </w:rPr>
        <w:t>durante el proceso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pero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las mencionadas autoridades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estarán dirigiendo, conduciendo to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dos los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equipos de pares académicos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, y los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técnicos del Departamento de Evaluación In</w:t>
      </w:r>
      <w:r w:rsidR="003A11DE" w:rsidRPr="000B78BC">
        <w:rPr>
          <w:rFonts w:ascii="Times New Roman" w:eastAsia="Times New Roman" w:hAnsi="Times New Roman" w:cs="Times New Roman"/>
          <w:i/>
          <w:iCs/>
          <w:sz w:val="24"/>
          <w:szCs w:val="24"/>
          <w:lang w:eastAsia="es-EC"/>
        </w:rPr>
        <w:t>terna Institucional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distribuirán por los criterios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según su experticia.</w:t>
      </w:r>
    </w:p>
    <w:p w:rsidR="001A1FE6" w:rsidRPr="000B78BC" w:rsidRDefault="001A1FE6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3A11DE" w:rsidRPr="000B78BC" w:rsidRDefault="001A1FE6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ha explicitado el  proceso de autoevaluación  dado los requerimientos metodológicos procedimentales que requiere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este tipo de procesos que constituyen </w:t>
      </w:r>
      <w:r w:rsidR="003A11DE" w:rsidRPr="001A1FE6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pilotajes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aportan a toda la educación sup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erior ecuatoriana</w:t>
      </w:r>
      <w:r w:rsidR="003A11DE" w:rsidRPr="00195AD2">
        <w:rPr>
          <w:rFonts w:ascii="Times New Roman" w:eastAsia="Times New Roman" w:hAnsi="Times New Roman" w:cs="Times New Roman"/>
          <w:sz w:val="24"/>
          <w:szCs w:val="24"/>
          <w:highlight w:val="yellow"/>
          <w:lang w:eastAsia="es-EC"/>
        </w:rPr>
        <w:t xml:space="preserve">. </w:t>
      </w:r>
      <w:r w:rsidR="00F0406F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satisfactorio que se realicen consultas permanentes antes y durante el proceso a los acompañantes del CEAACES dado que </w:t>
      </w:r>
      <w:r w:rsidR="003A11DE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en el contexto universitario</w:t>
      </w:r>
      <w:r w:rsidR="00F0406F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su complejidad</w:t>
      </w:r>
      <w:r w:rsidR="00180FD4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F0406F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debemos tener presente que </w:t>
      </w:r>
      <w:r w:rsidR="00F0406F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siempre</w:t>
      </w:r>
      <w:r w:rsidR="003A11DE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profeso</w:t>
      </w:r>
      <w:r w:rsidR="00F0406F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res</w:t>
      </w:r>
      <w:r w:rsidR="00180FD4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(</w:t>
      </w:r>
      <w:proofErr w:type="spellStart"/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</w:t>
      </w:r>
      <w:r w:rsidR="00180FD4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evaluados</w:t>
      </w:r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)</w:t>
      </w:r>
      <w:r w:rsidR="00F0406F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están aprendiendo permanentemente</w:t>
      </w:r>
      <w:r w:rsidR="00ED0FD4" w:rsidRP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 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mayor interés del CEAACES es que la IES autoevaluada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avance 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en </w:t>
      </w:r>
      <w:r w:rsidR="00F0406F" w:rsidRPr="00F0406F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dinámica acelerada</w:t>
      </w:r>
      <w:r w:rsidR="003A11DE" w:rsidRPr="00F0406F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hacia la </w:t>
      </w:r>
      <w:r w:rsidR="003A11DE" w:rsidRPr="00F0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cultura de la excelencia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 xml:space="preserve">, </w:t>
      </w:r>
      <w:r w:rsidR="003A11DE" w:rsidRPr="00F0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 xml:space="preserve">y al mismo tiempo para ello obtenga una </w:t>
      </w:r>
      <w:proofErr w:type="spellStart"/>
      <w:r w:rsidR="003A11DE" w:rsidRPr="00F0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>recategorización</w:t>
      </w:r>
      <w:proofErr w:type="spellEnd"/>
      <w:r w:rsidR="003A11DE" w:rsidRPr="00F04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C"/>
        </w:rPr>
        <w:t xml:space="preserve"> exitosa</w:t>
      </w:r>
      <w:r w:rsidR="003A11DE" w:rsidRPr="000B78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C"/>
        </w:rPr>
        <w:t>. E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ste proceso 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acompañado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será muy útil para alcanzar e</w:t>
      </w:r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se alto propósito universitario beneficioso para cualquier país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3A11DE" w:rsidRPr="000B78BC" w:rsidRDefault="003A11DE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0406F" w:rsidRDefault="00F0406F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Unos 15 días  con antelación al inicio de la autoevaluación se enviará, de forma sugerida, 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 relació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n de los profesores pares académicos (</w:t>
      </w:r>
      <w:proofErr w:type="spellStart"/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) de otra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>s IES ecuatorianas solidarias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con estos procesos de autoevaluación, que deberán incluirse en c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ada uno de los siete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equipos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se conformarán para implementar las mencionadas agendas, según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la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experti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cia y prestigio adquirido en la participación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procesos similares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realizados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anteriormente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como</w:t>
      </w:r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pilotajes. Serán solicitados por el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ector </w:t>
      </w:r>
      <w:r w:rsidR="007D2D64">
        <w:rPr>
          <w:rFonts w:ascii="Times New Roman" w:eastAsia="Times New Roman" w:hAnsi="Times New Roman" w:cs="Times New Roman"/>
          <w:sz w:val="24"/>
          <w:szCs w:val="24"/>
          <w:lang w:eastAsia="es-EC"/>
        </w:rPr>
        <w:t>de la IES autoe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valuada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 Rector 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>de IES solidaria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como se ha sugerido en la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>s capacitaciones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realizada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se coordina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  la 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participació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los profesores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seleccionados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como </w:t>
      </w:r>
      <w:proofErr w:type="spellStart"/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>autoevaluadores</w:t>
      </w:r>
      <w:proofErr w:type="spellEnd"/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se enfatiza, entre rectores.</w:t>
      </w:r>
    </w:p>
    <w:p w:rsidR="003A11DE" w:rsidRPr="000B78BC" w:rsidRDefault="00F0406F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3A11DE" w:rsidRPr="000B78BC" w:rsidRDefault="003A11DE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En c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ada uno de los siete e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quipo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de </w:t>
      </w:r>
      <w:proofErr w:type="spellStart"/>
      <w:r w:rsidR="008150C7"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A</w:t>
      </w:r>
      <w:r w:rsidR="00F0406F"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utoevaluadores</w:t>
      </w:r>
      <w:proofErr w:type="spellEnd"/>
      <w:r w:rsidR="00F0406F"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</w:t>
      </w:r>
      <w:r w:rsidR="008150C7"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colaborativos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deberá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incluir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se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pro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fesor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es más prestigiosos de la IES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y en cada equipo debe designarse 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un  Jefe</w:t>
      </w:r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la propia institución autoevaluada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, que debe ser él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mayores po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sibilidades académicas, procurar siempre que se pueda incluir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PhD e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n cada equipo, no importa de qué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rama de la ciencia es su PhD, lo importante es que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sea PhD prestigioso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 comprometido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, será muy út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il para los propósit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>os que desea obtener la IES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autoevaluada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y el CEAACES, 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>relacionados con la realización de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un diálogo, deba</w:t>
      </w:r>
      <w:r w:rsidR="00F0406F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te, discusión </w:t>
      </w:r>
      <w:r w:rsidR="00F0406F" w:rsidRPr="00F0406F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académica esencial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sobre los procesos su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tantivos y su integración con apoyo de los restantes procesos</w:t>
      </w:r>
      <w:r w:rsidR="00AC684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universitarios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mediante la </w:t>
      </w:r>
      <w:r w:rsidRPr="00602FBD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implementación profunda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</w:t>
      </w:r>
      <w:r w:rsidR="00602F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Modelo de evaluación institucional CEAACES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que atesora la experiencia universitaria e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>cuatoriana,</w:t>
      </w:r>
      <w:r w:rsidR="00195AD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regional y mundial, y la del propio órgano acreditador.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</w:t>
      </w:r>
      <w:r w:rsidR="00602F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stos procesos de autoevaluación acompañada como pilotajes contribuirán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su</w:t>
      </w:r>
      <w:r w:rsidR="00602F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perfeccionamiento, al constituirse en 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el inst</w:t>
      </w:r>
      <w:r w:rsidR="00602FBD">
        <w:rPr>
          <w:rFonts w:ascii="Times New Roman" w:eastAsia="Times New Roman" w:hAnsi="Times New Roman" w:cs="Times New Roman"/>
          <w:sz w:val="24"/>
          <w:szCs w:val="24"/>
          <w:lang w:eastAsia="es-EC"/>
        </w:rPr>
        <w:t>rumento fundamental cotidiano que p</w:t>
      </w:r>
      <w:r w:rsidR="00180FD4">
        <w:rPr>
          <w:rFonts w:ascii="Times New Roman" w:eastAsia="Times New Roman" w:hAnsi="Times New Roman" w:cs="Times New Roman"/>
          <w:sz w:val="24"/>
          <w:szCs w:val="24"/>
          <w:lang w:eastAsia="es-EC"/>
        </w:rPr>
        <w:t>osee la comunidad universitaria</w:t>
      </w:r>
      <w:r w:rsidR="00602FB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en esfuerzo mancomunado, para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incrementar a </w:t>
      </w:r>
      <w:r w:rsidR="008150C7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saltos  </w:t>
      </w:r>
      <w:r w:rsidR="00180FD4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progresivos</w:t>
      </w: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significativos </w:t>
      </w:r>
      <w:r w:rsidR="00602FBD">
        <w:rPr>
          <w:rFonts w:ascii="Times New Roman" w:eastAsia="Times New Roman" w:hAnsi="Times New Roman" w:cs="Times New Roman"/>
          <w:sz w:val="24"/>
          <w:szCs w:val="24"/>
          <w:lang w:eastAsia="es-EC"/>
        </w:rPr>
        <w:t>la calidad de la gestión del desempeño institucional.</w:t>
      </w:r>
    </w:p>
    <w:p w:rsidR="003A11DE" w:rsidRPr="000B78BC" w:rsidRDefault="003A11DE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02FBD" w:rsidRDefault="00602FBD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Se sugiere realizar las preguntas necesaria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para lograr el éxito esperado de esta importante actividad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 Ángel Naranjo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Director General Técnico del CEAACES y a Jesús Lazo Machado 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>Asesor CEAACES,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acerca de todo a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quello que pueda garantizar un e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>xitoso proceso de</w:t>
      </w:r>
      <w:r w:rsidR="00ED0FD4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Autoevaluación </w:t>
      </w:r>
      <w:r w:rsidR="003A11DE"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Acompañada, </w:t>
      </w:r>
      <w:r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marcada por la calidad </w:t>
      </w:r>
      <w:r w:rsidR="003A11DE"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de este, </w:t>
      </w:r>
      <w:r w:rsidR="00E82DB9"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y </w:t>
      </w:r>
      <w:r w:rsidRPr="008150C7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lograda por la propia IES autoevaluada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para elevar 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ún más el nivel de compromiso de la comunidad universitaria</w:t>
      </w:r>
      <w:r w:rsidR="008150C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con la institución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: estudiantes, profe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sores, empleados y trabajadores para lograr la </w:t>
      </w:r>
      <w:proofErr w:type="spellStart"/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>recategorización</w:t>
      </w:r>
      <w:proofErr w:type="spellEnd"/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exitosa </w:t>
      </w:r>
      <w:r w:rsidR="00E82DB9" w:rsidRPr="00E82DB9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camino a la cultura de la excelencia</w:t>
      </w:r>
      <w:r w:rsidR="00E82DB9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3A11DE" w:rsidRPr="000B78BC" w:rsidRDefault="00602FBD" w:rsidP="000B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B78B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sectPr w:rsidR="003A11DE" w:rsidRPr="000B7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99" w:rsidRDefault="00FC1A99" w:rsidP="00362D46">
      <w:pPr>
        <w:spacing w:after="0" w:line="240" w:lineRule="auto"/>
      </w:pPr>
      <w:r>
        <w:separator/>
      </w:r>
    </w:p>
  </w:endnote>
  <w:endnote w:type="continuationSeparator" w:id="0">
    <w:p w:rsidR="00FC1A99" w:rsidRDefault="00FC1A99" w:rsidP="0036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6" w:rsidRDefault="00362D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6" w:rsidRDefault="00362D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6" w:rsidRDefault="00362D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99" w:rsidRDefault="00FC1A99" w:rsidP="00362D46">
      <w:pPr>
        <w:spacing w:after="0" w:line="240" w:lineRule="auto"/>
      </w:pPr>
      <w:r>
        <w:separator/>
      </w:r>
    </w:p>
  </w:footnote>
  <w:footnote w:type="continuationSeparator" w:id="0">
    <w:p w:rsidR="00FC1A99" w:rsidRDefault="00FC1A99" w:rsidP="0036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6" w:rsidRDefault="00362D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6" w:rsidRDefault="00362D46">
    <w:pPr>
      <w:pStyle w:val="Encabezado"/>
    </w:pPr>
    <w:r>
      <w:rPr>
        <w:noProof/>
        <w:lang w:eastAsia="es-EC"/>
      </w:rPr>
      <w:drawing>
        <wp:inline distT="0" distB="0" distL="0" distR="0" wp14:anchorId="32F62286" wp14:editId="6DACB731">
          <wp:extent cx="2122170" cy="335915"/>
          <wp:effectExtent l="0" t="0" r="0" b="6985"/>
          <wp:docPr id="1" name="0 Imagen" descr="image0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3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6" w:rsidRDefault="00362D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DE"/>
    <w:rsid w:val="000B78BC"/>
    <w:rsid w:val="000E422D"/>
    <w:rsid w:val="00180FD4"/>
    <w:rsid w:val="00195AD2"/>
    <w:rsid w:val="001A1FE6"/>
    <w:rsid w:val="00321523"/>
    <w:rsid w:val="00362D46"/>
    <w:rsid w:val="00385E57"/>
    <w:rsid w:val="003A11DE"/>
    <w:rsid w:val="00602FBD"/>
    <w:rsid w:val="007D2D64"/>
    <w:rsid w:val="008150C7"/>
    <w:rsid w:val="00A91273"/>
    <w:rsid w:val="00AC684E"/>
    <w:rsid w:val="00CA05BA"/>
    <w:rsid w:val="00D63A62"/>
    <w:rsid w:val="00E82DB9"/>
    <w:rsid w:val="00ED0FD4"/>
    <w:rsid w:val="00F0406F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D46"/>
  </w:style>
  <w:style w:type="paragraph" w:styleId="Piedepgina">
    <w:name w:val="footer"/>
    <w:basedOn w:val="Normal"/>
    <w:link w:val="PiedepginaCar"/>
    <w:uiPriority w:val="99"/>
    <w:unhideWhenUsed/>
    <w:rsid w:val="00362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D46"/>
  </w:style>
  <w:style w:type="paragraph" w:styleId="Textodeglobo">
    <w:name w:val="Balloon Text"/>
    <w:basedOn w:val="Normal"/>
    <w:link w:val="TextodegloboCar"/>
    <w:uiPriority w:val="99"/>
    <w:semiHidden/>
    <w:unhideWhenUsed/>
    <w:rsid w:val="0036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D46"/>
  </w:style>
  <w:style w:type="paragraph" w:styleId="Piedepgina">
    <w:name w:val="footer"/>
    <w:basedOn w:val="Normal"/>
    <w:link w:val="PiedepginaCar"/>
    <w:uiPriority w:val="99"/>
    <w:unhideWhenUsed/>
    <w:rsid w:val="00362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D46"/>
  </w:style>
  <w:style w:type="paragraph" w:styleId="Textodeglobo">
    <w:name w:val="Balloon Text"/>
    <w:basedOn w:val="Normal"/>
    <w:link w:val="TextodegloboCar"/>
    <w:uiPriority w:val="99"/>
    <w:semiHidden/>
    <w:unhideWhenUsed/>
    <w:rsid w:val="0036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S. Lazo</dc:creator>
  <cp:lastModifiedBy>Jesús S. Lazo</cp:lastModifiedBy>
  <cp:revision>8</cp:revision>
  <dcterms:created xsi:type="dcterms:W3CDTF">2016-02-15T16:34:00Z</dcterms:created>
  <dcterms:modified xsi:type="dcterms:W3CDTF">2016-03-22T20:51:00Z</dcterms:modified>
</cp:coreProperties>
</file>