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9934" w14:textId="0FDA1830" w:rsidR="009C5C52" w:rsidRPr="009A0426" w:rsidRDefault="009C5C52" w:rsidP="00633B10">
      <w:pPr>
        <w:jc w:val="center"/>
        <w:rPr>
          <w:rFonts w:ascii="Bookman Old Style" w:hAnsi="Bookman Old Style"/>
          <w:b/>
          <w:bCs/>
          <w:lang w:val="es-MX"/>
        </w:rPr>
      </w:pPr>
      <w:r w:rsidRPr="009A0426">
        <w:rPr>
          <w:rFonts w:ascii="Bookman Old Style" w:hAnsi="Bookman Old Style"/>
          <w:b/>
          <w:bCs/>
        </w:rPr>
        <w:t>LINEAMIENTOS PARA INSCRIPCIÓN DE CANDIDATURAS; ACEPTACIÓN DE CANDIDATURAS Y SOLICITUDES DE RESPALDO A CANDIDATURAS</w:t>
      </w:r>
    </w:p>
    <w:p w14:paraId="5C9F7142" w14:textId="4563EDB3" w:rsidR="00B14CCF" w:rsidRPr="00684D60" w:rsidRDefault="00457E23" w:rsidP="00684D60">
      <w:pPr>
        <w:jc w:val="center"/>
        <w:rPr>
          <w:rFonts w:ascii="Bookman Old Style" w:hAnsi="Bookman Old Style"/>
          <w:b/>
          <w:bCs/>
          <w:lang w:val="es-MX"/>
        </w:rPr>
      </w:pPr>
      <w:r w:rsidRPr="009A0426">
        <w:rPr>
          <w:rFonts w:ascii="Bookman Old Style" w:hAnsi="Bookman Old Style"/>
          <w:b/>
          <w:bCs/>
          <w:lang w:val="es-MX"/>
        </w:rPr>
        <w:t xml:space="preserve">ELECCIONES A EFECTUARSE EL </w:t>
      </w:r>
      <w:r w:rsidR="00684D60">
        <w:rPr>
          <w:rFonts w:ascii="Bookman Old Style" w:hAnsi="Bookman Old Style"/>
          <w:b/>
          <w:bCs/>
          <w:lang w:val="es-MX"/>
        </w:rPr>
        <w:t>27 DE MAYO DE 2024</w:t>
      </w:r>
    </w:p>
    <w:p w14:paraId="75DAD3F7" w14:textId="0D557F48" w:rsidR="14AE61BC" w:rsidRPr="00684D60" w:rsidRDefault="001B27C3" w:rsidP="00684D60">
      <w:pPr>
        <w:pStyle w:val="NormalWeb"/>
        <w:jc w:val="both"/>
        <w:rPr>
          <w:rFonts w:ascii="Bookman Old Style" w:hAnsi="Bookman Old Style"/>
          <w:sz w:val="22"/>
          <w:szCs w:val="22"/>
        </w:rPr>
      </w:pPr>
      <w:r w:rsidRPr="14AE61BC">
        <w:rPr>
          <w:rFonts w:ascii="Bookman Old Style" w:hAnsi="Bookman Old Style"/>
          <w:sz w:val="22"/>
          <w:szCs w:val="22"/>
          <w:lang w:val="es-MX"/>
        </w:rPr>
        <w:t>La Junta Electoral designada por Consejo</w:t>
      </w:r>
      <w:r w:rsidR="007B5BB2" w:rsidRPr="14AE61BC">
        <w:rPr>
          <w:rFonts w:ascii="Bookman Old Style" w:hAnsi="Bookman Old Style"/>
          <w:sz w:val="22"/>
          <w:szCs w:val="22"/>
          <w:lang w:val="es-MX"/>
        </w:rPr>
        <w:t xml:space="preserve"> </w:t>
      </w:r>
      <w:r w:rsidR="00DD470F">
        <w:rPr>
          <w:rFonts w:ascii="Bookman Old Style" w:hAnsi="Bookman Old Style"/>
          <w:sz w:val="22"/>
          <w:szCs w:val="22"/>
          <w:lang w:val="es-MX"/>
        </w:rPr>
        <w:t xml:space="preserve">Politécnico </w:t>
      </w:r>
      <w:r w:rsidR="000E3C2A" w:rsidRPr="14AE61BC">
        <w:rPr>
          <w:rFonts w:ascii="Bookman Old Style" w:hAnsi="Bookman Old Style"/>
          <w:sz w:val="22"/>
          <w:szCs w:val="22"/>
          <w:lang w:val="es-MX"/>
        </w:rPr>
        <w:t>para el</w:t>
      </w:r>
      <w:r w:rsidRPr="14AE61BC">
        <w:rPr>
          <w:rFonts w:ascii="Bookman Old Style" w:hAnsi="Bookman Old Style"/>
          <w:sz w:val="22"/>
          <w:szCs w:val="22"/>
          <w:lang w:val="es-MX"/>
        </w:rPr>
        <w:t xml:space="preserve"> </w:t>
      </w:r>
      <w:r w:rsidR="00B85BEE" w:rsidRPr="14AE61BC">
        <w:rPr>
          <w:rFonts w:ascii="Bookman Old Style" w:hAnsi="Bookman Old Style"/>
          <w:sz w:val="22"/>
          <w:szCs w:val="22"/>
        </w:rPr>
        <w:t xml:space="preserve">Proceso Eleccionario </w:t>
      </w:r>
      <w:r w:rsidR="002D763A">
        <w:rPr>
          <w:rFonts w:ascii="Bookman Old Style" w:hAnsi="Bookman Old Style"/>
          <w:sz w:val="22"/>
          <w:szCs w:val="22"/>
        </w:rPr>
        <w:t xml:space="preserve">(Modalidad </w:t>
      </w:r>
      <w:r w:rsidR="00684D60">
        <w:rPr>
          <w:rFonts w:ascii="Bookman Old Style" w:hAnsi="Bookman Old Style"/>
          <w:sz w:val="22"/>
          <w:szCs w:val="22"/>
        </w:rPr>
        <w:t>Virtual</w:t>
      </w:r>
      <w:r w:rsidR="002D763A">
        <w:rPr>
          <w:rFonts w:ascii="Bookman Old Style" w:hAnsi="Bookman Old Style"/>
          <w:sz w:val="22"/>
          <w:szCs w:val="22"/>
        </w:rPr>
        <w:t xml:space="preserve">) </w:t>
      </w:r>
      <w:r w:rsidR="00684D60">
        <w:rPr>
          <w:rFonts w:ascii="Bookman Old Style" w:hAnsi="Bookman Old Style"/>
          <w:sz w:val="22"/>
          <w:szCs w:val="22"/>
        </w:rPr>
        <w:t>para el</w:t>
      </w:r>
      <w:r w:rsidR="002D763A">
        <w:rPr>
          <w:rFonts w:ascii="Bookman Old Style" w:hAnsi="Bookman Old Style"/>
          <w:sz w:val="22"/>
          <w:szCs w:val="22"/>
        </w:rPr>
        <w:t xml:space="preserve"> </w:t>
      </w:r>
      <w:r w:rsidR="00684D60" w:rsidRPr="00684D60">
        <w:rPr>
          <w:rFonts w:ascii="Bookman Old Style" w:hAnsi="Bookman Old Style"/>
          <w:b/>
          <w:sz w:val="22"/>
          <w:szCs w:val="22"/>
        </w:rPr>
        <w:t>PROCESO ELECCIONARIO DE UN (1) REPRESENTANTE ALTERNO DE LOS MIEMBROS DEL PERSONAL ACADÉMICO TITULAR</w:t>
      </w:r>
      <w:r w:rsidR="000E3C2A" w:rsidRPr="00684D60">
        <w:rPr>
          <w:rFonts w:ascii="Bookman Old Style" w:hAnsi="Bookman Old Style"/>
          <w:sz w:val="22"/>
          <w:szCs w:val="22"/>
        </w:rPr>
        <w:t>,</w:t>
      </w:r>
      <w:r w:rsidR="000E3C2A" w:rsidRPr="14AE61BC">
        <w:rPr>
          <w:rFonts w:ascii="Bookman Old Style" w:hAnsi="Bookman Old Style"/>
          <w:sz w:val="22"/>
          <w:szCs w:val="22"/>
        </w:rPr>
        <w:t xml:space="preserve"> e</w:t>
      </w:r>
      <w:r w:rsidR="004E3548" w:rsidRPr="14AE61BC">
        <w:rPr>
          <w:rFonts w:ascii="Bookman Old Style" w:hAnsi="Bookman Old Style"/>
          <w:sz w:val="22"/>
          <w:szCs w:val="22"/>
          <w:lang w:val="es-MX"/>
        </w:rPr>
        <w:t xml:space="preserve">n </w:t>
      </w:r>
      <w:r w:rsidR="000E3C2A" w:rsidRPr="14AE61BC">
        <w:rPr>
          <w:rFonts w:ascii="Bookman Old Style" w:hAnsi="Bookman Old Style"/>
          <w:sz w:val="22"/>
          <w:szCs w:val="22"/>
          <w:lang w:val="es-MX"/>
        </w:rPr>
        <w:t xml:space="preserve">la </w:t>
      </w:r>
      <w:r w:rsidR="004E3548" w:rsidRPr="14AE61BC">
        <w:rPr>
          <w:rFonts w:ascii="Bookman Old Style" w:hAnsi="Bookman Old Style"/>
          <w:sz w:val="22"/>
          <w:szCs w:val="22"/>
          <w:lang w:val="es-MX"/>
        </w:rPr>
        <w:t xml:space="preserve">sesión del </w:t>
      </w:r>
      <w:r w:rsidR="00684D60">
        <w:rPr>
          <w:rFonts w:ascii="Bookman Old Style" w:hAnsi="Bookman Old Style"/>
          <w:sz w:val="22"/>
          <w:szCs w:val="22"/>
          <w:lang w:val="es-MX"/>
        </w:rPr>
        <w:t>12 de abril de 2024</w:t>
      </w:r>
      <w:r w:rsidR="00E218BF">
        <w:rPr>
          <w:rFonts w:ascii="Bookman Old Style" w:hAnsi="Bookman Old Style"/>
          <w:sz w:val="22"/>
          <w:szCs w:val="22"/>
          <w:lang w:val="es-MX"/>
        </w:rPr>
        <w:t>,</w:t>
      </w:r>
      <w:r w:rsidRPr="14AE61BC">
        <w:rPr>
          <w:rFonts w:ascii="Bookman Old Style" w:hAnsi="Bookman Old Style"/>
          <w:sz w:val="22"/>
          <w:szCs w:val="22"/>
          <w:lang w:val="es-MX"/>
        </w:rPr>
        <w:t xml:space="preserve"> resolvió publicar </w:t>
      </w:r>
      <w:r w:rsidR="00C55CCB" w:rsidRPr="14AE61BC">
        <w:rPr>
          <w:rFonts w:ascii="Bookman Old Style" w:hAnsi="Bookman Old Style"/>
          <w:sz w:val="22"/>
          <w:szCs w:val="22"/>
          <w:lang w:val="es-MX"/>
        </w:rPr>
        <w:t xml:space="preserve">los </w:t>
      </w:r>
      <w:r w:rsidR="00457E23" w:rsidRPr="14AE61BC">
        <w:rPr>
          <w:rFonts w:ascii="Bookman Old Style" w:hAnsi="Bookman Old Style"/>
          <w:sz w:val="22"/>
          <w:szCs w:val="22"/>
          <w:lang w:val="es-MX"/>
        </w:rPr>
        <w:t xml:space="preserve">siguientes </w:t>
      </w:r>
      <w:r w:rsidR="00C55CCB" w:rsidRPr="14AE61BC">
        <w:rPr>
          <w:rFonts w:ascii="Bookman Old Style" w:hAnsi="Bookman Old Style"/>
          <w:sz w:val="22"/>
          <w:szCs w:val="22"/>
          <w:lang w:val="es-MX"/>
        </w:rPr>
        <w:t>lineamientos</w:t>
      </w:r>
      <w:r w:rsidRPr="14AE61BC">
        <w:rPr>
          <w:rFonts w:ascii="Bookman Old Style" w:hAnsi="Bookman Old Style"/>
          <w:sz w:val="22"/>
          <w:szCs w:val="22"/>
          <w:lang w:val="es-MX"/>
        </w:rPr>
        <w:t xml:space="preserve"> para inscripción de candidatos:</w:t>
      </w:r>
    </w:p>
    <w:p w14:paraId="494456D1" w14:textId="70936A1E" w:rsidR="00E218BF" w:rsidRDefault="00E218BF" w:rsidP="009465F1">
      <w:pPr>
        <w:pStyle w:val="Default"/>
        <w:jc w:val="both"/>
        <w:rPr>
          <w:b/>
          <w:lang w:val="es-MX"/>
        </w:rPr>
      </w:pPr>
      <w:r>
        <w:rPr>
          <w:b/>
          <w:lang w:val="es-MX"/>
        </w:rPr>
        <w:t>Reglamento General de Elecciones de la Escuela Politécnica Nacional.</w:t>
      </w:r>
    </w:p>
    <w:p w14:paraId="2BB597F5" w14:textId="77777777" w:rsidR="00E218BF" w:rsidRDefault="00E218BF" w:rsidP="009465F1">
      <w:pPr>
        <w:pStyle w:val="Default"/>
        <w:jc w:val="both"/>
        <w:rPr>
          <w:b/>
          <w:lang w:val="es-MX"/>
        </w:rPr>
      </w:pPr>
    </w:p>
    <w:p w14:paraId="552C71C3" w14:textId="4012C8FE" w:rsidR="00E84A0C" w:rsidRDefault="001B27C3" w:rsidP="009465F1">
      <w:pPr>
        <w:pStyle w:val="Default"/>
        <w:jc w:val="both"/>
        <w:rPr>
          <w:b/>
          <w:lang w:val="es-MX"/>
        </w:rPr>
      </w:pPr>
      <w:r w:rsidRPr="009465F1">
        <w:rPr>
          <w:b/>
          <w:lang w:val="es-MX"/>
        </w:rPr>
        <w:t xml:space="preserve">Requisitos para ser Representante de los </w:t>
      </w:r>
      <w:r w:rsidR="00E84A0C">
        <w:rPr>
          <w:b/>
          <w:lang w:val="es-MX"/>
        </w:rPr>
        <w:t xml:space="preserve">Miembros </w:t>
      </w:r>
      <w:r w:rsidR="004E10F1">
        <w:rPr>
          <w:b/>
          <w:lang w:val="es-MX"/>
        </w:rPr>
        <w:t>del Personal Académico Titular ante el Consejo Politécnico:</w:t>
      </w:r>
    </w:p>
    <w:p w14:paraId="47A02EB4" w14:textId="77777777" w:rsidR="004E10F1" w:rsidRDefault="004E10F1" w:rsidP="009465F1">
      <w:pPr>
        <w:pStyle w:val="Default"/>
        <w:jc w:val="both"/>
        <w:rPr>
          <w:b/>
          <w:lang w:val="es-MX"/>
        </w:rPr>
      </w:pPr>
    </w:p>
    <w:p w14:paraId="766D07B3" w14:textId="1AD76AE4" w:rsidR="009465F1" w:rsidRDefault="009465F1" w:rsidP="009465F1">
      <w:pPr>
        <w:pStyle w:val="Default"/>
        <w:jc w:val="both"/>
        <w:rPr>
          <w:sz w:val="21"/>
          <w:szCs w:val="21"/>
        </w:rPr>
      </w:pPr>
      <w:r w:rsidRPr="009465F1">
        <w:rPr>
          <w:b/>
          <w:bCs/>
          <w:sz w:val="21"/>
          <w:szCs w:val="21"/>
        </w:rPr>
        <w:t xml:space="preserve">Artículo 29.- </w:t>
      </w:r>
      <w:r w:rsidRPr="009465F1">
        <w:rPr>
          <w:sz w:val="21"/>
          <w:szCs w:val="21"/>
        </w:rPr>
        <w:t xml:space="preserve">Para ser representante de los profesores titulares ante Consejo Politécnico, Consejo de Facultad o Consejo de Instituto se requiere ser profesor titular de la Escuela Politécnica Nacional, con dedicación a tiempo completo, y haberse desempeñado en tal condición al menos los dos años inmediatamente anteriores al de la elección. </w:t>
      </w:r>
    </w:p>
    <w:p w14:paraId="30A264BD" w14:textId="77777777" w:rsidR="004E10F1" w:rsidRPr="009465F1" w:rsidRDefault="004E10F1" w:rsidP="009465F1">
      <w:pPr>
        <w:pStyle w:val="Default"/>
        <w:jc w:val="both"/>
        <w:rPr>
          <w:sz w:val="21"/>
          <w:szCs w:val="21"/>
        </w:rPr>
      </w:pPr>
    </w:p>
    <w:p w14:paraId="3485EEED" w14:textId="77777777" w:rsidR="001859E9" w:rsidRPr="001859E9" w:rsidRDefault="001859E9" w:rsidP="001859E9">
      <w:pPr>
        <w:jc w:val="both"/>
        <w:rPr>
          <w:rFonts w:ascii="Bookman Old Style" w:hAnsi="Bookman Old Style"/>
          <w:sz w:val="21"/>
          <w:szCs w:val="21"/>
        </w:rPr>
      </w:pPr>
      <w:r w:rsidRPr="001859E9">
        <w:rPr>
          <w:rFonts w:ascii="Bookman Old Style" w:hAnsi="Bookman Old Style"/>
          <w:b/>
          <w:bCs/>
          <w:sz w:val="21"/>
          <w:szCs w:val="21"/>
        </w:rPr>
        <w:t>Artículo 30.-</w:t>
      </w:r>
      <w:r w:rsidRPr="001859E9">
        <w:rPr>
          <w:rFonts w:ascii="Bookman Old Style" w:hAnsi="Bookman Old Style"/>
          <w:sz w:val="21"/>
          <w:szCs w:val="21"/>
        </w:rPr>
        <w:t xml:space="preserve"> Los representantes de los profesores titulares ante Consejo Politécnico, Consejo de Facultad o Consejo de Instituto durarán dos años en sus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1859E9">
        <w:rPr>
          <w:rFonts w:ascii="Bookman Old Style" w:hAnsi="Bookman Old Style"/>
          <w:sz w:val="21"/>
          <w:szCs w:val="21"/>
        </w:rPr>
        <w:t>funciones y serán elegidos mediante votación universal, directa, secreta y obligatoria.</w:t>
      </w:r>
    </w:p>
    <w:p w14:paraId="23EBF4FD" w14:textId="53806243" w:rsidR="000065EA" w:rsidRDefault="001859E9" w:rsidP="004E3548">
      <w:pPr>
        <w:jc w:val="both"/>
        <w:rPr>
          <w:rFonts w:ascii="Bookman Old Style" w:hAnsi="Bookman Old Style"/>
          <w:sz w:val="21"/>
          <w:szCs w:val="21"/>
        </w:rPr>
      </w:pPr>
      <w:r w:rsidRPr="001859E9">
        <w:rPr>
          <w:rFonts w:ascii="Bookman Old Style" w:hAnsi="Bookman Old Style"/>
          <w:sz w:val="21"/>
          <w:szCs w:val="21"/>
        </w:rPr>
        <w:t>Los representantes de los profesores titulares ante el Consejo Politécnico serán elegidos por los profesores titulares de la Escuela Politécnica Nacional con más de un año en tal calidad.</w:t>
      </w:r>
    </w:p>
    <w:p w14:paraId="7F467AF4" w14:textId="77777777" w:rsidR="00684D60" w:rsidRPr="00684D60" w:rsidRDefault="00684D60" w:rsidP="004E3548">
      <w:pPr>
        <w:jc w:val="both"/>
        <w:rPr>
          <w:rFonts w:ascii="Bookman Old Style" w:hAnsi="Bookman Old Style"/>
          <w:sz w:val="21"/>
          <w:szCs w:val="21"/>
        </w:rPr>
      </w:pPr>
    </w:p>
    <w:p w14:paraId="23911EE8" w14:textId="5F4D5A1E" w:rsidR="000065EA" w:rsidRDefault="000065EA" w:rsidP="004E3548">
      <w:pPr>
        <w:jc w:val="both"/>
        <w:rPr>
          <w:rFonts w:ascii="Bookman Old Style" w:hAnsi="Bookman Old Style"/>
          <w:b/>
          <w:bCs/>
          <w:lang w:val="es-MX"/>
        </w:rPr>
      </w:pPr>
      <w:r>
        <w:rPr>
          <w:rFonts w:ascii="Bookman Old Style" w:hAnsi="Bookman Old Style"/>
          <w:b/>
          <w:bCs/>
          <w:lang w:val="es-MX"/>
        </w:rPr>
        <w:t>Procedimiento:</w:t>
      </w:r>
    </w:p>
    <w:p w14:paraId="3D51FBA9" w14:textId="5FCF0E73" w:rsidR="001B27C3" w:rsidRPr="009A0426" w:rsidRDefault="001B27C3" w:rsidP="004E3548">
      <w:pPr>
        <w:jc w:val="both"/>
        <w:rPr>
          <w:rFonts w:ascii="Bookman Old Style" w:hAnsi="Bookman Old Style"/>
          <w:lang w:val="es-MX"/>
        </w:rPr>
      </w:pPr>
      <w:r w:rsidRPr="14AE61BC">
        <w:rPr>
          <w:rFonts w:ascii="Bookman Old Style" w:hAnsi="Bookman Old Style"/>
          <w:b/>
          <w:bCs/>
          <w:lang w:val="es-MX"/>
        </w:rPr>
        <w:t>Para la inscripción de</w:t>
      </w:r>
      <w:r w:rsidR="00684D60">
        <w:rPr>
          <w:rFonts w:ascii="Bookman Old Style" w:hAnsi="Bookman Old Style"/>
          <w:b/>
          <w:bCs/>
          <w:lang w:val="es-MX"/>
        </w:rPr>
        <w:t xml:space="preserve"> la candidatura</w:t>
      </w:r>
      <w:r w:rsidRPr="14AE61BC">
        <w:rPr>
          <w:rFonts w:ascii="Bookman Old Style" w:hAnsi="Bookman Old Style"/>
          <w:lang w:val="es-MX"/>
        </w:rPr>
        <w:t xml:space="preserve"> </w:t>
      </w:r>
      <w:r w:rsidR="004E3548" w:rsidRPr="14AE61BC">
        <w:rPr>
          <w:rFonts w:ascii="Bookman Old Style" w:hAnsi="Bookman Old Style"/>
          <w:lang w:val="es-MX"/>
        </w:rPr>
        <w:t>para</w:t>
      </w:r>
      <w:r w:rsidR="00F4482D" w:rsidRPr="14AE61BC">
        <w:rPr>
          <w:rFonts w:ascii="Bookman Old Style" w:hAnsi="Bookman Old Style"/>
          <w:lang w:val="es-MX"/>
        </w:rPr>
        <w:t xml:space="preserve"> ser representante</w:t>
      </w:r>
      <w:r w:rsidR="00684D60">
        <w:rPr>
          <w:rFonts w:ascii="Bookman Old Style" w:hAnsi="Bookman Old Style"/>
          <w:lang w:val="es-MX"/>
        </w:rPr>
        <w:t xml:space="preserve"> alterno</w:t>
      </w:r>
      <w:r w:rsidR="00386097" w:rsidRPr="14AE61BC">
        <w:rPr>
          <w:rFonts w:ascii="Bookman Old Style" w:hAnsi="Bookman Old Style"/>
          <w:lang w:val="es-MX"/>
        </w:rPr>
        <w:t xml:space="preserve"> de los </w:t>
      </w:r>
      <w:r w:rsidR="00E84A0C">
        <w:rPr>
          <w:rFonts w:ascii="Bookman Old Style" w:hAnsi="Bookman Old Style"/>
          <w:lang w:val="es-MX"/>
        </w:rPr>
        <w:t xml:space="preserve">miembros del Personal Académico Titular </w:t>
      </w:r>
      <w:r w:rsidR="000E3C2A" w:rsidRPr="14AE61BC">
        <w:rPr>
          <w:rFonts w:ascii="Bookman Old Style" w:hAnsi="Bookman Old Style"/>
        </w:rPr>
        <w:t>de la Escuela Politécnica Nacional</w:t>
      </w:r>
      <w:r w:rsidR="6BC22C20" w:rsidRPr="14AE61BC">
        <w:rPr>
          <w:rFonts w:ascii="Bookman Old Style" w:hAnsi="Bookman Old Style"/>
        </w:rPr>
        <w:t xml:space="preserve"> ante el Consejo </w:t>
      </w:r>
      <w:r w:rsidR="00E84A0C">
        <w:rPr>
          <w:rFonts w:ascii="Bookman Old Style" w:hAnsi="Bookman Old Style"/>
        </w:rPr>
        <w:t>Politécnico</w:t>
      </w:r>
      <w:r w:rsidR="00386097" w:rsidRPr="14AE61BC">
        <w:rPr>
          <w:rFonts w:ascii="Bookman Old Style" w:hAnsi="Bookman Old Style"/>
          <w:lang w:val="es-MX"/>
        </w:rPr>
        <w:t xml:space="preserve">, </w:t>
      </w:r>
      <w:r w:rsidRPr="14AE61BC">
        <w:rPr>
          <w:rFonts w:ascii="Bookman Old Style" w:hAnsi="Bookman Old Style"/>
          <w:lang w:val="es-MX"/>
        </w:rPr>
        <w:t>se empleará el siguiente procedimiento:</w:t>
      </w:r>
    </w:p>
    <w:p w14:paraId="0D304A1B" w14:textId="2B21B984" w:rsidR="001B27C3" w:rsidRPr="00684D60" w:rsidRDefault="001B27C3" w:rsidP="00684D60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b/>
          <w:bCs/>
          <w:lang w:val="es-MX"/>
        </w:rPr>
      </w:pPr>
      <w:r w:rsidRPr="14AE61BC">
        <w:rPr>
          <w:rFonts w:ascii="Bookman Old Style" w:hAnsi="Bookman Old Style"/>
          <w:b/>
          <w:bCs/>
          <w:lang w:val="es-MX"/>
        </w:rPr>
        <w:t>El representante de la</w:t>
      </w:r>
      <w:r w:rsidR="334EA1B9" w:rsidRPr="14AE61BC">
        <w:rPr>
          <w:rFonts w:ascii="Bookman Old Style" w:hAnsi="Bookman Old Style"/>
          <w:b/>
          <w:bCs/>
          <w:lang w:val="es-MX"/>
        </w:rPr>
        <w:t xml:space="preserve"> </w:t>
      </w:r>
      <w:r w:rsidR="12A11452" w:rsidRPr="14AE61BC">
        <w:rPr>
          <w:rFonts w:ascii="Bookman Old Style" w:hAnsi="Bookman Old Style"/>
          <w:b/>
          <w:bCs/>
          <w:lang w:val="es-MX"/>
        </w:rPr>
        <w:t>lista</w:t>
      </w:r>
      <w:r w:rsidRPr="14AE61BC">
        <w:rPr>
          <w:rFonts w:ascii="Bookman Old Style" w:hAnsi="Bookman Old Style"/>
          <w:b/>
          <w:bCs/>
          <w:lang w:val="es-MX"/>
        </w:rPr>
        <w:t xml:space="preserve"> e</w:t>
      </w:r>
      <w:r w:rsidR="4E8FC3E6" w:rsidRPr="14AE61BC">
        <w:rPr>
          <w:rFonts w:ascii="Bookman Old Style" w:hAnsi="Bookman Old Style"/>
          <w:b/>
          <w:bCs/>
          <w:lang w:val="es-MX"/>
        </w:rPr>
        <w:t>ntregará</w:t>
      </w:r>
      <w:r w:rsidR="00684D60">
        <w:rPr>
          <w:rFonts w:ascii="Bookman Old Style" w:hAnsi="Bookman Old Style"/>
          <w:b/>
          <w:bCs/>
          <w:lang w:val="es-MX"/>
        </w:rPr>
        <w:t xml:space="preserve"> los documentos de la candidatura</w:t>
      </w:r>
      <w:r w:rsidR="30986C1C" w:rsidRPr="14AE61BC">
        <w:rPr>
          <w:rFonts w:ascii="Bookman Old Style" w:hAnsi="Bookman Old Style"/>
          <w:b/>
          <w:bCs/>
          <w:lang w:val="es-MX"/>
        </w:rPr>
        <w:t xml:space="preserve">, </w:t>
      </w:r>
      <w:r w:rsidR="71F386EA" w:rsidRPr="14AE61BC">
        <w:rPr>
          <w:rFonts w:ascii="Bookman Old Style" w:hAnsi="Bookman Old Style"/>
          <w:b/>
          <w:bCs/>
          <w:lang w:val="es-MX"/>
        </w:rPr>
        <w:t xml:space="preserve">que </w:t>
      </w:r>
      <w:r w:rsidR="30986C1C" w:rsidRPr="14AE61BC">
        <w:rPr>
          <w:rFonts w:ascii="Bookman Old Style" w:hAnsi="Bookman Old Style"/>
          <w:b/>
          <w:bCs/>
          <w:lang w:val="es-MX"/>
        </w:rPr>
        <w:t xml:space="preserve">deberán ser impresos y entregados de forma física en la Secretaría General </w:t>
      </w:r>
      <w:r w:rsidR="1C33D95B" w:rsidRPr="14AE61BC">
        <w:rPr>
          <w:rFonts w:ascii="Bookman Old Style" w:hAnsi="Bookman Old Style"/>
          <w:b/>
          <w:bCs/>
          <w:lang w:val="es-MX"/>
        </w:rPr>
        <w:t xml:space="preserve">desde el </w:t>
      </w:r>
      <w:r w:rsidR="00684D60" w:rsidRPr="00684D60">
        <w:rPr>
          <w:rFonts w:ascii="Bookman Old Style" w:hAnsi="Bookman Old Style"/>
          <w:b/>
          <w:bCs/>
          <w:lang w:val="es-MX"/>
        </w:rPr>
        <w:t>lunes 22</w:t>
      </w:r>
      <w:r w:rsidR="00684D60">
        <w:rPr>
          <w:rFonts w:ascii="Bookman Old Style" w:hAnsi="Bookman Old Style"/>
          <w:b/>
          <w:bCs/>
          <w:lang w:val="es-MX"/>
        </w:rPr>
        <w:t xml:space="preserve"> de abril de 2024,</w:t>
      </w:r>
      <w:r w:rsidR="00684D60" w:rsidRPr="00684D60">
        <w:rPr>
          <w:rFonts w:ascii="Bookman Old Style" w:hAnsi="Bookman Old Style"/>
          <w:b/>
          <w:bCs/>
          <w:lang w:val="es-MX"/>
        </w:rPr>
        <w:t xml:space="preserve"> hasta </w:t>
      </w:r>
      <w:r w:rsidR="00684D60">
        <w:rPr>
          <w:rFonts w:ascii="Bookman Old Style" w:hAnsi="Bookman Old Style"/>
          <w:b/>
          <w:bCs/>
          <w:lang w:val="es-MX"/>
        </w:rPr>
        <w:t>el</w:t>
      </w:r>
      <w:r w:rsidR="00684D60" w:rsidRPr="00684D60">
        <w:rPr>
          <w:rFonts w:ascii="Bookman Old Style" w:hAnsi="Bookman Old Style"/>
          <w:b/>
          <w:bCs/>
          <w:lang w:val="es-MX"/>
        </w:rPr>
        <w:t xml:space="preserve"> viernes</w:t>
      </w:r>
      <w:r w:rsidR="00684D60">
        <w:rPr>
          <w:rFonts w:ascii="Bookman Old Style" w:hAnsi="Bookman Old Style"/>
          <w:b/>
          <w:bCs/>
          <w:lang w:val="es-MX"/>
        </w:rPr>
        <w:t xml:space="preserve"> </w:t>
      </w:r>
      <w:r w:rsidR="00684D60" w:rsidRPr="00684D60">
        <w:rPr>
          <w:rFonts w:ascii="Bookman Old Style" w:hAnsi="Bookman Old Style"/>
          <w:b/>
          <w:bCs/>
          <w:lang w:val="es-MX"/>
        </w:rPr>
        <w:t>26 de abril de 2024</w:t>
      </w:r>
      <w:r w:rsidR="1C33D95B" w:rsidRPr="00684D60">
        <w:rPr>
          <w:rFonts w:ascii="Bookman Old Style" w:hAnsi="Bookman Old Style"/>
          <w:b/>
          <w:bCs/>
          <w:lang w:val="es-MX"/>
        </w:rPr>
        <w:t>,</w:t>
      </w:r>
      <w:r w:rsidR="2A31D5B8" w:rsidRPr="00684D60">
        <w:rPr>
          <w:rFonts w:ascii="Bookman Old Style" w:hAnsi="Bookman Old Style"/>
          <w:b/>
          <w:bCs/>
          <w:lang w:val="es-MX"/>
        </w:rPr>
        <w:t xml:space="preserve"> </w:t>
      </w:r>
      <w:r w:rsidR="00684D60">
        <w:rPr>
          <w:rFonts w:ascii="Bookman Old Style" w:hAnsi="Bookman Old Style"/>
          <w:b/>
          <w:bCs/>
          <w:lang w:val="es-MX"/>
        </w:rPr>
        <w:t>en horario de 08h00 hasta las 16h30</w:t>
      </w:r>
      <w:r w:rsidR="7AF062C3" w:rsidRPr="00684D60">
        <w:rPr>
          <w:rFonts w:ascii="Bookman Old Style" w:hAnsi="Bookman Old Style"/>
          <w:b/>
          <w:bCs/>
          <w:lang w:val="es-MX"/>
        </w:rPr>
        <w:t>,</w:t>
      </w:r>
      <w:r w:rsidR="4E8FC3E6" w:rsidRPr="00684D60">
        <w:rPr>
          <w:rFonts w:ascii="Bookman Old Style" w:hAnsi="Bookman Old Style"/>
          <w:b/>
          <w:bCs/>
          <w:lang w:val="es-MX"/>
        </w:rPr>
        <w:t xml:space="preserve"> </w:t>
      </w:r>
      <w:r w:rsidRPr="00684D60">
        <w:rPr>
          <w:rFonts w:ascii="Bookman Old Style" w:hAnsi="Bookman Old Style"/>
          <w:b/>
          <w:bCs/>
          <w:lang w:val="es-MX"/>
        </w:rPr>
        <w:t>adjuntando la siguiente información:</w:t>
      </w:r>
    </w:p>
    <w:p w14:paraId="0C5E0003" w14:textId="77777777" w:rsidR="00DC5ADA" w:rsidRPr="009A0426" w:rsidRDefault="00DC5ADA" w:rsidP="00DC5ADA">
      <w:pPr>
        <w:pStyle w:val="Prrafodelista"/>
        <w:ind w:left="792"/>
        <w:jc w:val="both"/>
        <w:rPr>
          <w:rFonts w:ascii="Bookman Old Style" w:hAnsi="Bookman Old Style"/>
          <w:lang w:val="es-MX"/>
        </w:rPr>
      </w:pPr>
    </w:p>
    <w:p w14:paraId="5874850F" w14:textId="4BF3D86C" w:rsidR="74A9BC87" w:rsidRDefault="74A9BC87" w:rsidP="14AE61BC">
      <w:pPr>
        <w:pStyle w:val="Prrafodelista"/>
        <w:numPr>
          <w:ilvl w:val="1"/>
          <w:numId w:val="2"/>
        </w:numPr>
        <w:jc w:val="both"/>
        <w:rPr>
          <w:rFonts w:ascii="Bookman Old Style" w:hAnsi="Bookman Old Style"/>
          <w:lang w:val="es-MX"/>
        </w:rPr>
      </w:pPr>
      <w:r w:rsidRPr="14AE61BC">
        <w:rPr>
          <w:rFonts w:ascii="Bookman Old Style" w:hAnsi="Bookman Old Style"/>
          <w:lang w:val="es-MX"/>
        </w:rPr>
        <w:lastRenderedPageBreak/>
        <w:t>Formato de Inscripción.</w:t>
      </w:r>
    </w:p>
    <w:p w14:paraId="10979AC5" w14:textId="71F179A1" w:rsidR="001B27C3" w:rsidRPr="009A0426" w:rsidRDefault="74A9BC87" w:rsidP="004E3548">
      <w:pPr>
        <w:pStyle w:val="Prrafodelista"/>
        <w:numPr>
          <w:ilvl w:val="1"/>
          <w:numId w:val="2"/>
        </w:numPr>
        <w:jc w:val="both"/>
        <w:rPr>
          <w:rFonts w:ascii="Bookman Old Style" w:hAnsi="Bookman Old Style"/>
          <w:lang w:val="es-MX"/>
        </w:rPr>
      </w:pPr>
      <w:r w:rsidRPr="14AE61BC">
        <w:rPr>
          <w:rFonts w:ascii="Bookman Old Style" w:hAnsi="Bookman Old Style"/>
          <w:lang w:val="es-MX"/>
        </w:rPr>
        <w:t>Copia de</w:t>
      </w:r>
      <w:r w:rsidR="001B27C3" w:rsidRPr="14AE61BC">
        <w:rPr>
          <w:rFonts w:ascii="Bookman Old Style" w:hAnsi="Bookman Old Style"/>
          <w:lang w:val="es-MX"/>
        </w:rPr>
        <w:t xml:space="preserve"> la cédula</w:t>
      </w:r>
      <w:r w:rsidR="00F4482D" w:rsidRPr="14AE61BC">
        <w:rPr>
          <w:rFonts w:ascii="Bookman Old Style" w:hAnsi="Bookman Old Style"/>
          <w:lang w:val="es-MX"/>
        </w:rPr>
        <w:t xml:space="preserve"> de </w:t>
      </w:r>
      <w:r w:rsidR="00695C31">
        <w:rPr>
          <w:rFonts w:ascii="Bookman Old Style" w:hAnsi="Bookman Old Style"/>
          <w:lang w:val="es-MX"/>
        </w:rPr>
        <w:t>ciudadanía</w:t>
      </w:r>
      <w:r w:rsidR="00E82F72">
        <w:rPr>
          <w:rFonts w:ascii="Bookman Old Style" w:hAnsi="Bookman Old Style"/>
          <w:lang w:val="es-MX"/>
        </w:rPr>
        <w:t xml:space="preserve"> vigente</w:t>
      </w:r>
      <w:r w:rsidR="00087458">
        <w:rPr>
          <w:rFonts w:ascii="Bookman Old Style" w:hAnsi="Bookman Old Style"/>
          <w:lang w:val="es-MX"/>
        </w:rPr>
        <w:t xml:space="preserve"> del</w:t>
      </w:r>
      <w:r w:rsidR="00F4482D" w:rsidRPr="14AE61BC">
        <w:rPr>
          <w:rFonts w:ascii="Bookman Old Style" w:hAnsi="Bookman Old Style"/>
          <w:lang w:val="es-MX"/>
        </w:rPr>
        <w:t xml:space="preserve"> </w:t>
      </w:r>
      <w:r w:rsidR="001B27C3" w:rsidRPr="14AE61BC">
        <w:rPr>
          <w:rFonts w:ascii="Bookman Old Style" w:hAnsi="Bookman Old Style"/>
          <w:lang w:val="es-MX"/>
        </w:rPr>
        <w:t>candidato.</w:t>
      </w:r>
    </w:p>
    <w:p w14:paraId="5894C2DF" w14:textId="6BE44E5C" w:rsidR="5943CDE1" w:rsidRDefault="5943CDE1" w:rsidP="14AE61BC">
      <w:pPr>
        <w:pStyle w:val="Prrafodelista"/>
        <w:numPr>
          <w:ilvl w:val="1"/>
          <w:numId w:val="2"/>
        </w:numPr>
        <w:jc w:val="both"/>
        <w:rPr>
          <w:rFonts w:ascii="Bookman Old Style" w:hAnsi="Bookman Old Style"/>
          <w:lang w:val="es-MX"/>
        </w:rPr>
      </w:pPr>
      <w:r w:rsidRPr="14AE61BC">
        <w:rPr>
          <w:rFonts w:ascii="Bookman Old Style" w:hAnsi="Bookman Old Style"/>
          <w:lang w:val="es-MX"/>
        </w:rPr>
        <w:t xml:space="preserve">Documentación que sustenta el cumplimiento de los requisitos establecidos en el artículo </w:t>
      </w:r>
      <w:r w:rsidR="000065EA">
        <w:rPr>
          <w:rFonts w:ascii="Bookman Old Style" w:hAnsi="Bookman Old Style"/>
          <w:lang w:val="es-MX"/>
        </w:rPr>
        <w:t>29</w:t>
      </w:r>
      <w:r w:rsidRPr="14AE61BC">
        <w:rPr>
          <w:rFonts w:ascii="Bookman Old Style" w:hAnsi="Bookman Old Style"/>
          <w:lang w:val="es-MX"/>
        </w:rPr>
        <w:t xml:space="preserve"> del Reglamento General de Elecciones.</w:t>
      </w:r>
      <w:r w:rsidR="004113A2">
        <w:rPr>
          <w:rFonts w:ascii="Bookman Old Style" w:hAnsi="Bookman Old Style"/>
          <w:lang w:val="es-MX"/>
        </w:rPr>
        <w:t xml:space="preserve"> (Certificado laboral de la Dirección de Talento Humano)</w:t>
      </w:r>
    </w:p>
    <w:p w14:paraId="603AEC4B" w14:textId="77777777" w:rsidR="004E3548" w:rsidRPr="009A0426" w:rsidRDefault="004E3548" w:rsidP="004E3548">
      <w:pPr>
        <w:pStyle w:val="Prrafodelista"/>
        <w:ind w:left="792"/>
        <w:jc w:val="both"/>
        <w:rPr>
          <w:rFonts w:ascii="Bookman Old Style" w:hAnsi="Bookman Old Style"/>
          <w:lang w:val="es-MX"/>
        </w:rPr>
      </w:pPr>
    </w:p>
    <w:p w14:paraId="12FA2932" w14:textId="1FA69749" w:rsidR="001B27C3" w:rsidRPr="00B14CCF" w:rsidRDefault="000E3C2A" w:rsidP="00E05FB2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lang w:val="es-MX"/>
        </w:rPr>
      </w:pPr>
      <w:r w:rsidRPr="00B14CCF">
        <w:rPr>
          <w:rFonts w:ascii="Bookman Old Style" w:hAnsi="Bookman Old Style"/>
          <w:lang w:val="es-MX"/>
        </w:rPr>
        <w:t>El</w:t>
      </w:r>
      <w:r w:rsidR="001B27C3" w:rsidRPr="00B14CCF">
        <w:rPr>
          <w:rFonts w:ascii="Bookman Old Style" w:hAnsi="Bookman Old Style"/>
          <w:lang w:val="es-MX"/>
        </w:rPr>
        <w:t xml:space="preserve"> can</w:t>
      </w:r>
      <w:r w:rsidRPr="00B14CCF">
        <w:rPr>
          <w:rFonts w:ascii="Bookman Old Style" w:hAnsi="Bookman Old Style"/>
          <w:lang w:val="es-MX"/>
        </w:rPr>
        <w:t>didato</w:t>
      </w:r>
      <w:r w:rsidR="001B27C3" w:rsidRPr="00B14CCF">
        <w:rPr>
          <w:rFonts w:ascii="Bookman Old Style" w:hAnsi="Bookman Old Style"/>
          <w:lang w:val="es-MX"/>
        </w:rPr>
        <w:t xml:space="preserve"> deberá e</w:t>
      </w:r>
      <w:r w:rsidR="6F3D514D" w:rsidRPr="00B14CCF">
        <w:rPr>
          <w:rFonts w:ascii="Bookman Old Style" w:hAnsi="Bookman Old Style"/>
          <w:lang w:val="es-MX"/>
        </w:rPr>
        <w:t>ntregar</w:t>
      </w:r>
      <w:r w:rsidR="001B27C3" w:rsidRPr="00B14CCF">
        <w:rPr>
          <w:rFonts w:ascii="Bookman Old Style" w:hAnsi="Bookman Old Style"/>
          <w:lang w:val="es-MX"/>
        </w:rPr>
        <w:t xml:space="preserve"> la aceptación para la candidatura de acuerdo al formato proporcionado en</w:t>
      </w:r>
      <w:r w:rsidRPr="00B14CCF">
        <w:rPr>
          <w:rFonts w:ascii="Bookman Old Style" w:hAnsi="Bookman Old Style"/>
          <w:lang w:val="es-MX"/>
        </w:rPr>
        <w:t xml:space="preserve"> el archivo </w:t>
      </w:r>
      <w:r w:rsidR="001B27C3" w:rsidRPr="00B14CCF">
        <w:rPr>
          <w:rFonts w:ascii="Bookman Old Style" w:hAnsi="Bookman Old Style"/>
          <w:lang w:val="es-MX"/>
        </w:rPr>
        <w:t>“formato de aceptación candidatura”.</w:t>
      </w:r>
    </w:p>
    <w:p w14:paraId="2C405C0F" w14:textId="77777777" w:rsidR="004E3548" w:rsidRPr="00B14CCF" w:rsidRDefault="004E3548" w:rsidP="004E3548">
      <w:pPr>
        <w:pStyle w:val="Prrafodelista"/>
        <w:ind w:left="360"/>
        <w:jc w:val="both"/>
        <w:rPr>
          <w:rFonts w:ascii="Bookman Old Style" w:hAnsi="Bookman Old Style"/>
          <w:lang w:val="es-MX"/>
        </w:rPr>
      </w:pPr>
    </w:p>
    <w:p w14:paraId="7708EBB3" w14:textId="1A923EE1" w:rsidR="00F4482D" w:rsidRPr="00B14CCF" w:rsidRDefault="000B588A" w:rsidP="14AE61BC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lang w:val="es-MX"/>
        </w:rPr>
      </w:pPr>
      <w:r>
        <w:rPr>
          <w:rFonts w:ascii="Bookman Old Style" w:hAnsi="Bookman Old Style"/>
          <w:lang w:val="es-MX"/>
        </w:rPr>
        <w:t>Para acreditar el respaldo a la candidatura</w:t>
      </w:r>
      <w:r w:rsidR="00DC5ADA" w:rsidRPr="00B14CCF">
        <w:rPr>
          <w:rFonts w:ascii="Bookman Old Style" w:hAnsi="Bookman Old Style"/>
          <w:lang w:val="es-MX"/>
        </w:rPr>
        <w:t xml:space="preserve">, el representante de cada lista deberá solicitar a los </w:t>
      </w:r>
      <w:r w:rsidR="000065EA" w:rsidRPr="00B14CCF">
        <w:rPr>
          <w:rFonts w:ascii="Bookman Old Style" w:hAnsi="Bookman Old Style"/>
          <w:lang w:val="es-MX"/>
        </w:rPr>
        <w:t>profesores</w:t>
      </w:r>
      <w:r w:rsidR="00DC5ADA" w:rsidRPr="00B14CCF">
        <w:rPr>
          <w:rFonts w:ascii="Bookman Old Style" w:hAnsi="Bookman Old Style"/>
          <w:lang w:val="es-MX"/>
        </w:rPr>
        <w:t xml:space="preserve"> registrar sus nombres y apellidos, número de cédula de </w:t>
      </w:r>
      <w:r w:rsidR="00695C31" w:rsidRPr="00B14CCF">
        <w:rPr>
          <w:rFonts w:ascii="Bookman Old Style" w:hAnsi="Bookman Old Style"/>
          <w:lang w:val="es-MX"/>
        </w:rPr>
        <w:t>ciudadanía</w:t>
      </w:r>
      <w:r w:rsidR="00DC5ADA" w:rsidRPr="00B14CCF">
        <w:rPr>
          <w:rFonts w:ascii="Bookman Old Style" w:hAnsi="Bookman Old Style"/>
          <w:lang w:val="es-MX"/>
        </w:rPr>
        <w:t xml:space="preserve"> y la firma en el respectivo “formato de respaldo candidatura”. </w:t>
      </w:r>
    </w:p>
    <w:p w14:paraId="716AF1A5" w14:textId="26091837" w:rsidR="00F4482D" w:rsidRPr="00910BE4" w:rsidRDefault="00F4482D" w:rsidP="14AE61BC">
      <w:pPr>
        <w:jc w:val="both"/>
        <w:rPr>
          <w:rFonts w:ascii="Bookman Old Style" w:hAnsi="Bookman Old Style"/>
          <w:lang w:val="es-MX"/>
        </w:rPr>
      </w:pPr>
    </w:p>
    <w:p w14:paraId="5C22DC1D" w14:textId="34478703" w:rsidR="006E1C70" w:rsidRPr="006E1C70" w:rsidRDefault="00F4482D" w:rsidP="006E1C70">
      <w:pPr>
        <w:jc w:val="both"/>
        <w:rPr>
          <w:rFonts w:ascii="Bookman Old Style" w:hAnsi="Bookman Old Style"/>
        </w:rPr>
      </w:pPr>
      <w:r w:rsidRPr="00E117A8">
        <w:rPr>
          <w:rFonts w:ascii="Bookman Old Style" w:hAnsi="Bookman Old Style"/>
          <w:b/>
          <w:bCs/>
        </w:rPr>
        <w:t>Reglamento General de Elecciones</w:t>
      </w:r>
      <w:r w:rsidR="006E1C70" w:rsidRPr="00E117A8">
        <w:rPr>
          <w:rFonts w:ascii="Bookman Old Style" w:hAnsi="Bookman Old Style"/>
          <w:b/>
          <w:bCs/>
        </w:rPr>
        <w:t>: Artículo 24.-</w:t>
      </w:r>
      <w:r w:rsidR="006E1C70" w:rsidRPr="006E1C70">
        <w:rPr>
          <w:rFonts w:ascii="Bookman Old Style" w:hAnsi="Bookman Old Style"/>
        </w:rPr>
        <w:t xml:space="preserve"> Las candidaturas para representantes se inscribirán ante la Junta Electoral en la modalidad de listas y en los formularios diseñados para el efecto por la Junta Electoral. Cada lista contendrá un número de candidatos principales con sus correspondientes alternos, igual al número de representantes a elegirse para el correspondiente consejo. </w:t>
      </w:r>
      <w:r w:rsidR="006E1C70" w:rsidRPr="000B588A">
        <w:rPr>
          <w:rFonts w:ascii="Bookman Old Style" w:hAnsi="Bookman Old Style"/>
          <w:u w:val="single"/>
        </w:rPr>
        <w:t>Cada lista deberá estar apoyada con, por lo menos, el cinco por ciento (5%) del número de electores constantes en el registro electoral correspondiente definitivo</w:t>
      </w:r>
      <w:r w:rsidR="006E1C70" w:rsidRPr="006E1C70">
        <w:rPr>
          <w:rFonts w:ascii="Bookman Old Style" w:hAnsi="Bookman Old Style"/>
        </w:rPr>
        <w:t>.</w:t>
      </w:r>
    </w:p>
    <w:p w14:paraId="271F8A41" w14:textId="506A8630" w:rsidR="000B588A" w:rsidRPr="009A0426" w:rsidRDefault="000B588A" w:rsidP="000B58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s-MX"/>
        </w:rPr>
        <w:t>Para el presente proceso, s</w:t>
      </w:r>
      <w:r w:rsidRPr="14AE61BC">
        <w:rPr>
          <w:rFonts w:ascii="Bookman Old Style" w:hAnsi="Bookman Old Style"/>
          <w:lang w:val="es-MX"/>
        </w:rPr>
        <w:t xml:space="preserve">e requieren al menos </w:t>
      </w:r>
      <w:r w:rsidR="00886001">
        <w:rPr>
          <w:rFonts w:ascii="Bookman Old Style" w:hAnsi="Bookman Old Style"/>
          <w:b/>
          <w:bCs/>
          <w:u w:val="single"/>
          <w:lang w:val="es-MX"/>
        </w:rPr>
        <w:t>15</w:t>
      </w:r>
      <w:bookmarkStart w:id="0" w:name="_GoBack"/>
      <w:bookmarkEnd w:id="0"/>
      <w:r>
        <w:rPr>
          <w:rFonts w:ascii="Bookman Old Style" w:hAnsi="Bookman Old Style"/>
          <w:b/>
          <w:bCs/>
          <w:u w:val="single"/>
          <w:lang w:val="es-MX"/>
        </w:rPr>
        <w:t xml:space="preserve"> firmas de respaldo</w:t>
      </w:r>
      <w:r w:rsidRPr="14AE61BC">
        <w:rPr>
          <w:rFonts w:ascii="Bookman Old Style" w:hAnsi="Bookman Old Style"/>
          <w:lang w:val="es-MX"/>
        </w:rPr>
        <w:t xml:space="preserve"> para </w:t>
      </w:r>
      <w:r>
        <w:rPr>
          <w:rFonts w:ascii="Bookman Old Style" w:hAnsi="Bookman Old Style"/>
          <w:lang w:val="es-MX"/>
        </w:rPr>
        <w:t xml:space="preserve">el candidato a </w:t>
      </w:r>
      <w:r w:rsidRPr="14AE61BC">
        <w:rPr>
          <w:rFonts w:ascii="Bookman Old Style" w:hAnsi="Bookman Old Style"/>
          <w:lang w:val="es-MX"/>
        </w:rPr>
        <w:t>representante</w:t>
      </w:r>
      <w:r>
        <w:rPr>
          <w:rFonts w:ascii="Bookman Old Style" w:hAnsi="Bookman Old Style"/>
          <w:lang w:val="es-MX"/>
        </w:rPr>
        <w:t xml:space="preserve"> alterno</w:t>
      </w:r>
      <w:r w:rsidRPr="14AE61BC">
        <w:rPr>
          <w:rFonts w:ascii="Bookman Old Style" w:hAnsi="Bookman Old Style"/>
          <w:lang w:val="es-MX"/>
        </w:rPr>
        <w:t xml:space="preserve"> de los </w:t>
      </w:r>
      <w:r>
        <w:rPr>
          <w:rFonts w:ascii="Bookman Old Style" w:hAnsi="Bookman Old Style"/>
          <w:lang w:val="es-MX"/>
        </w:rPr>
        <w:t xml:space="preserve">miembros del Personal Académico Titular </w:t>
      </w:r>
      <w:r w:rsidRPr="14AE61BC">
        <w:rPr>
          <w:rFonts w:ascii="Bookman Old Style" w:hAnsi="Bookman Old Style"/>
        </w:rPr>
        <w:t xml:space="preserve">de la Escuela Politécnica Nacional ante el Consejo </w:t>
      </w:r>
      <w:r>
        <w:rPr>
          <w:rFonts w:ascii="Bookman Old Style" w:hAnsi="Bookman Old Style"/>
        </w:rPr>
        <w:t>Politécnico</w:t>
      </w:r>
      <w:r w:rsidRPr="14AE61BC">
        <w:rPr>
          <w:rFonts w:ascii="Bookman Old Style" w:hAnsi="Bookman Old Style"/>
        </w:rPr>
        <w:t>.</w:t>
      </w:r>
    </w:p>
    <w:p w14:paraId="462CF1B4" w14:textId="7782FC4D" w:rsidR="005A4171" w:rsidRPr="009A0426" w:rsidRDefault="005A4171" w:rsidP="004E3548">
      <w:pPr>
        <w:jc w:val="both"/>
        <w:rPr>
          <w:rFonts w:ascii="Bookman Old Style" w:hAnsi="Bookman Old Style"/>
        </w:rPr>
      </w:pPr>
    </w:p>
    <w:sectPr w:rsidR="005A4171" w:rsidRPr="009A04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651E" w14:textId="77777777" w:rsidR="00B07793" w:rsidRDefault="00B07793" w:rsidP="00B44526">
      <w:pPr>
        <w:spacing w:after="0" w:line="240" w:lineRule="auto"/>
      </w:pPr>
      <w:r>
        <w:separator/>
      </w:r>
    </w:p>
  </w:endnote>
  <w:endnote w:type="continuationSeparator" w:id="0">
    <w:p w14:paraId="4684A769" w14:textId="77777777" w:rsidR="00B07793" w:rsidRDefault="00B07793" w:rsidP="00B4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5BC34" w14:textId="77777777" w:rsidR="00B07793" w:rsidRDefault="00B07793" w:rsidP="00B44526">
      <w:pPr>
        <w:spacing w:after="0" w:line="240" w:lineRule="auto"/>
      </w:pPr>
      <w:r>
        <w:separator/>
      </w:r>
    </w:p>
  </w:footnote>
  <w:footnote w:type="continuationSeparator" w:id="0">
    <w:p w14:paraId="48DDC633" w14:textId="77777777" w:rsidR="00B07793" w:rsidRDefault="00B07793" w:rsidP="00B4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5B4CF" w14:textId="238A3489" w:rsidR="00CC2FE2" w:rsidRDefault="00CC2FE2" w:rsidP="00CC2FE2">
    <w:pPr>
      <w:pStyle w:val="Encabezado"/>
      <w:tabs>
        <w:tab w:val="left" w:pos="1170"/>
      </w:tabs>
      <w:jc w:val="center"/>
      <w:rPr>
        <w:rFonts w:ascii="Bookman Old Style" w:hAnsi="Bookman Old Style" w:cs="Times New Roman"/>
        <w:b/>
        <w:sz w:val="28"/>
        <w:szCs w:val="28"/>
      </w:rPr>
    </w:pPr>
    <w:bookmarkStart w:id="1" w:name="_Hlk134694838"/>
    <w:bookmarkStart w:id="2" w:name="_Hlk134694839"/>
    <w:bookmarkStart w:id="3" w:name="_Hlk134694872"/>
    <w:bookmarkStart w:id="4" w:name="_Hlk134694873"/>
    <w:r w:rsidRPr="00486D77">
      <w:rPr>
        <w:rFonts w:ascii="Bookman Old Style" w:hAnsi="Bookman Old Style"/>
        <w:noProof/>
        <w:lang w:eastAsia="es-EC"/>
      </w:rPr>
      <w:drawing>
        <wp:anchor distT="0" distB="0" distL="114300" distR="114300" simplePos="0" relativeHeight="251659264" behindDoc="1" locked="0" layoutInCell="1" allowOverlap="1" wp14:anchorId="4C52AD78" wp14:editId="01866FEC">
          <wp:simplePos x="0" y="0"/>
          <wp:positionH relativeFrom="column">
            <wp:posOffset>-292735</wp:posOffset>
          </wp:positionH>
          <wp:positionV relativeFrom="paragraph">
            <wp:posOffset>-101600</wp:posOffset>
          </wp:positionV>
          <wp:extent cx="701040" cy="724535"/>
          <wp:effectExtent l="0" t="0" r="3810" b="0"/>
          <wp:wrapTight wrapText="bothSides">
            <wp:wrapPolygon edited="0">
              <wp:start x="0" y="0"/>
              <wp:lineTo x="0" y="21013"/>
              <wp:lineTo x="21130" y="21013"/>
              <wp:lineTo x="21130" y="0"/>
              <wp:lineTo x="0" y="0"/>
            </wp:wrapPolygon>
          </wp:wrapTight>
          <wp:docPr id="14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010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BD0B6" w14:textId="77777777" w:rsidR="00CC2FE2" w:rsidRDefault="00CC2FE2" w:rsidP="00CC2FE2">
    <w:pPr>
      <w:pStyle w:val="Encabezado"/>
      <w:tabs>
        <w:tab w:val="left" w:pos="1170"/>
      </w:tabs>
      <w:jc w:val="center"/>
      <w:rPr>
        <w:rFonts w:ascii="Bookman Old Style" w:hAnsi="Bookman Old Style" w:cs="Times New Roman"/>
        <w:b/>
        <w:sz w:val="28"/>
        <w:szCs w:val="28"/>
      </w:rPr>
    </w:pPr>
  </w:p>
  <w:p w14:paraId="3C477F5B" w14:textId="4556871D" w:rsidR="00CC2FE2" w:rsidRDefault="00CC2FE2" w:rsidP="00CC2FE2">
    <w:pPr>
      <w:pStyle w:val="Encabezado"/>
      <w:tabs>
        <w:tab w:val="left" w:pos="1170"/>
      </w:tabs>
      <w:jc w:val="center"/>
      <w:rPr>
        <w:rFonts w:ascii="Bookman Old Style" w:hAnsi="Bookman Old Style" w:cs="Times New Roman"/>
        <w:b/>
        <w:sz w:val="28"/>
        <w:szCs w:val="28"/>
      </w:rPr>
    </w:pPr>
    <w:r w:rsidRPr="00486D77">
      <w:rPr>
        <w:rFonts w:ascii="Bookman Old Style" w:hAnsi="Bookman Old Style"/>
        <w:noProof/>
        <w:lang w:eastAsia="es-EC"/>
      </w:rPr>
      <w:drawing>
        <wp:anchor distT="0" distB="0" distL="114300" distR="114300" simplePos="0" relativeHeight="251660288" behindDoc="1" locked="0" layoutInCell="1" allowOverlap="1" wp14:anchorId="1DED96FC" wp14:editId="080E2CD0">
          <wp:simplePos x="0" y="0"/>
          <wp:positionH relativeFrom="margin">
            <wp:posOffset>5231130</wp:posOffset>
          </wp:positionH>
          <wp:positionV relativeFrom="paragraph">
            <wp:posOffset>-554990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1" name="Imagen 11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6D77">
      <w:rPr>
        <w:rFonts w:ascii="Bookman Old Style" w:hAnsi="Bookman Old Style" w:cs="Times New Roman"/>
        <w:b/>
        <w:sz w:val="28"/>
        <w:szCs w:val="28"/>
      </w:rPr>
      <w:t>ESCUELA POLITÉCNICA NACIONAL</w:t>
    </w:r>
  </w:p>
  <w:p w14:paraId="1BC94F6F" w14:textId="328A88A5" w:rsidR="00CC2FE2" w:rsidRPr="00626441" w:rsidRDefault="00CC2FE2" w:rsidP="00CC2FE2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bookmarkEnd w:id="1"/>
  <w:bookmarkEnd w:id="2"/>
  <w:bookmarkEnd w:id="3"/>
  <w:bookmarkEnd w:id="4"/>
  <w:p w14:paraId="2BFD22CF" w14:textId="77777777" w:rsidR="00684D60" w:rsidRPr="00542370" w:rsidRDefault="00684D60" w:rsidP="00684D60">
    <w:pPr>
      <w:spacing w:after="0"/>
      <w:jc w:val="center"/>
      <w:rPr>
        <w:rFonts w:ascii="Bookman Old Style" w:eastAsia="Bookman Old Style" w:hAnsi="Bookman Old Style" w:cs="Bookman Old Style"/>
        <w:b/>
        <w:sz w:val="21"/>
        <w:szCs w:val="21"/>
      </w:rPr>
    </w:pPr>
    <w:r w:rsidRPr="00542370">
      <w:rPr>
        <w:rFonts w:ascii="Bookman Old Style" w:eastAsia="Bookman Old Style" w:hAnsi="Bookman Old Style" w:cs="Bookman Old Style"/>
        <w:b/>
        <w:sz w:val="21"/>
        <w:szCs w:val="21"/>
      </w:rPr>
      <w:t>PROCESO ELECCIONARIO DE UN (1) REPRESENTANTE ALTERNO DE LOS</w:t>
    </w:r>
  </w:p>
  <w:p w14:paraId="292D3285" w14:textId="77777777" w:rsidR="00684D60" w:rsidRDefault="00684D60" w:rsidP="00684D60">
    <w:pPr>
      <w:spacing w:after="0"/>
      <w:jc w:val="center"/>
      <w:rPr>
        <w:rFonts w:ascii="Bookman Old Style" w:eastAsia="Bookman Old Style" w:hAnsi="Bookman Old Style" w:cs="Bookman Old Style"/>
        <w:b/>
        <w:sz w:val="21"/>
        <w:szCs w:val="21"/>
      </w:rPr>
    </w:pPr>
    <w:r w:rsidRPr="00542370">
      <w:rPr>
        <w:rFonts w:ascii="Bookman Old Style" w:eastAsia="Bookman Old Style" w:hAnsi="Bookman Old Style" w:cs="Bookman Old Style"/>
        <w:b/>
        <w:sz w:val="21"/>
        <w:szCs w:val="21"/>
      </w:rPr>
      <w:t>MIEMBROS DEL PERSONAL ACADÉMICO TITULAR ANTE CONSEJO POLITÉCNICO.</w:t>
    </w:r>
  </w:p>
  <w:p w14:paraId="71DEB9C8" w14:textId="45F7F18E" w:rsidR="005973DF" w:rsidRPr="009B1482" w:rsidRDefault="005973DF" w:rsidP="005973DF">
    <w:pPr>
      <w:autoSpaceDE w:val="0"/>
      <w:autoSpaceDN w:val="0"/>
      <w:adjustRightInd w:val="0"/>
      <w:rPr>
        <w:rFonts w:ascii="Bookman Old Style" w:hAnsi="Bookman Old Style" w:cs="Bookman Old Style"/>
        <w:color w:val="000000"/>
      </w:rPr>
    </w:pPr>
  </w:p>
  <w:p w14:paraId="088A0F71" w14:textId="684CA132" w:rsidR="005973DF" w:rsidRDefault="005973DF" w:rsidP="005973DF">
    <w:pPr>
      <w:autoSpaceDE w:val="0"/>
      <w:autoSpaceDN w:val="0"/>
      <w:adjustRightInd w:val="0"/>
      <w:jc w:val="center"/>
      <w:rPr>
        <w:rFonts w:ascii="Bookman Old Style" w:hAnsi="Bookman Old Style" w:cs="Bookman Old Style"/>
        <w:b/>
        <w:bCs/>
        <w:i/>
        <w:iCs/>
        <w:color w:val="006FC0"/>
        <w:sz w:val="20"/>
        <w:szCs w:val="20"/>
      </w:rPr>
    </w:pPr>
    <w:r w:rsidRPr="009B1482">
      <w:rPr>
        <w:rFonts w:ascii="Bookman Old Style" w:hAnsi="Bookman Old Style" w:cs="Bookman Old Style"/>
        <w:b/>
        <w:bCs/>
        <w:i/>
        <w:iCs/>
        <w:color w:val="006FC0"/>
        <w:sz w:val="20"/>
        <w:szCs w:val="20"/>
      </w:rPr>
      <w:t xml:space="preserve">Proceso con modalidad </w:t>
    </w:r>
    <w:r w:rsidR="00684D60">
      <w:rPr>
        <w:rFonts w:ascii="Bookman Old Style" w:hAnsi="Bookman Old Style" w:cs="Bookman Old Style"/>
        <w:b/>
        <w:bCs/>
        <w:i/>
        <w:iCs/>
        <w:color w:val="006FC0"/>
        <w:sz w:val="20"/>
        <w:szCs w:val="20"/>
      </w:rPr>
      <w:t>virtual</w:t>
    </w:r>
  </w:p>
  <w:p w14:paraId="6EA65A50" w14:textId="77777777" w:rsidR="00B14CCF" w:rsidRPr="009B1482" w:rsidRDefault="00B14CCF" w:rsidP="00B14CCF">
    <w:pPr>
      <w:autoSpaceDE w:val="0"/>
      <w:autoSpaceDN w:val="0"/>
      <w:adjustRightInd w:val="0"/>
      <w:spacing w:after="0"/>
      <w:jc w:val="center"/>
      <w:rPr>
        <w:rFonts w:ascii="Bookman Old Style" w:hAnsi="Bookman Old Style" w:cs="Bookman Old Style"/>
        <w:color w:val="006F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7A1"/>
    <w:multiLevelType w:val="hybridMultilevel"/>
    <w:tmpl w:val="2A185EE0"/>
    <w:lvl w:ilvl="0" w:tplc="F3ACAF3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25B66"/>
    <w:multiLevelType w:val="hybridMultilevel"/>
    <w:tmpl w:val="5C5223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B5566"/>
    <w:multiLevelType w:val="multilevel"/>
    <w:tmpl w:val="7C1E12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C3"/>
    <w:rsid w:val="000065EA"/>
    <w:rsid w:val="00025520"/>
    <w:rsid w:val="00035016"/>
    <w:rsid w:val="00087458"/>
    <w:rsid w:val="000B588A"/>
    <w:rsid w:val="000E3C2A"/>
    <w:rsid w:val="00113C17"/>
    <w:rsid w:val="001859E9"/>
    <w:rsid w:val="001A1EEB"/>
    <w:rsid w:val="001B27C3"/>
    <w:rsid w:val="001C7EBE"/>
    <w:rsid w:val="00242637"/>
    <w:rsid w:val="00267988"/>
    <w:rsid w:val="0028083C"/>
    <w:rsid w:val="002D763A"/>
    <w:rsid w:val="00386097"/>
    <w:rsid w:val="004113A2"/>
    <w:rsid w:val="004157A6"/>
    <w:rsid w:val="00440C75"/>
    <w:rsid w:val="00446CA8"/>
    <w:rsid w:val="00457E23"/>
    <w:rsid w:val="004D0F2E"/>
    <w:rsid w:val="004E10F1"/>
    <w:rsid w:val="004E3548"/>
    <w:rsid w:val="00576FF4"/>
    <w:rsid w:val="00582AE0"/>
    <w:rsid w:val="005973DF"/>
    <w:rsid w:val="005A4171"/>
    <w:rsid w:val="00620BE0"/>
    <w:rsid w:val="00633B10"/>
    <w:rsid w:val="006640E4"/>
    <w:rsid w:val="006707D0"/>
    <w:rsid w:val="00684D60"/>
    <w:rsid w:val="006864BB"/>
    <w:rsid w:val="00692CC9"/>
    <w:rsid w:val="00695C31"/>
    <w:rsid w:val="006A7CD1"/>
    <w:rsid w:val="006E1C70"/>
    <w:rsid w:val="007B5BB2"/>
    <w:rsid w:val="007E3F48"/>
    <w:rsid w:val="00886001"/>
    <w:rsid w:val="008D0C6E"/>
    <w:rsid w:val="009465F1"/>
    <w:rsid w:val="00976723"/>
    <w:rsid w:val="009A0426"/>
    <w:rsid w:val="009C5C52"/>
    <w:rsid w:val="009D12AB"/>
    <w:rsid w:val="009E22A4"/>
    <w:rsid w:val="00A544A4"/>
    <w:rsid w:val="00A55E08"/>
    <w:rsid w:val="00AB1F59"/>
    <w:rsid w:val="00AB2B9E"/>
    <w:rsid w:val="00B07793"/>
    <w:rsid w:val="00B14CCF"/>
    <w:rsid w:val="00B245A0"/>
    <w:rsid w:val="00B27992"/>
    <w:rsid w:val="00B4427E"/>
    <w:rsid w:val="00B44526"/>
    <w:rsid w:val="00B74949"/>
    <w:rsid w:val="00B85BEE"/>
    <w:rsid w:val="00BB22A3"/>
    <w:rsid w:val="00C02C2C"/>
    <w:rsid w:val="00C13D2C"/>
    <w:rsid w:val="00C32FAD"/>
    <w:rsid w:val="00C55CCB"/>
    <w:rsid w:val="00CC2FE2"/>
    <w:rsid w:val="00D02E7D"/>
    <w:rsid w:val="00D568FC"/>
    <w:rsid w:val="00D91930"/>
    <w:rsid w:val="00DC5ADA"/>
    <w:rsid w:val="00DD470F"/>
    <w:rsid w:val="00DD6BAF"/>
    <w:rsid w:val="00E012E8"/>
    <w:rsid w:val="00E05FB2"/>
    <w:rsid w:val="00E117A8"/>
    <w:rsid w:val="00E218BF"/>
    <w:rsid w:val="00E82F72"/>
    <w:rsid w:val="00E84A0C"/>
    <w:rsid w:val="00ED1E40"/>
    <w:rsid w:val="00F410D6"/>
    <w:rsid w:val="00F4482D"/>
    <w:rsid w:val="00F85398"/>
    <w:rsid w:val="00F94E2B"/>
    <w:rsid w:val="00FB0A35"/>
    <w:rsid w:val="018359A7"/>
    <w:rsid w:val="0BAA62E0"/>
    <w:rsid w:val="0E55EE0A"/>
    <w:rsid w:val="0EE203A2"/>
    <w:rsid w:val="107DD403"/>
    <w:rsid w:val="1219A464"/>
    <w:rsid w:val="12A11452"/>
    <w:rsid w:val="14AE61BC"/>
    <w:rsid w:val="15514526"/>
    <w:rsid w:val="180454DF"/>
    <w:rsid w:val="1888E5E8"/>
    <w:rsid w:val="19A02540"/>
    <w:rsid w:val="1A24B649"/>
    <w:rsid w:val="1B3BF5A1"/>
    <w:rsid w:val="1C33D95B"/>
    <w:rsid w:val="2A31D5B8"/>
    <w:rsid w:val="2FE8E5CC"/>
    <w:rsid w:val="30986C1C"/>
    <w:rsid w:val="334EA1B9"/>
    <w:rsid w:val="34BC56EF"/>
    <w:rsid w:val="386D81CC"/>
    <w:rsid w:val="41A2C77D"/>
    <w:rsid w:val="4E8FC3E6"/>
    <w:rsid w:val="5943CDE1"/>
    <w:rsid w:val="5F58E088"/>
    <w:rsid w:val="62BF1263"/>
    <w:rsid w:val="6BC22C20"/>
    <w:rsid w:val="6F3D514D"/>
    <w:rsid w:val="7055D1E8"/>
    <w:rsid w:val="71F386EA"/>
    <w:rsid w:val="74A9BC87"/>
    <w:rsid w:val="7505D709"/>
    <w:rsid w:val="7AF062C3"/>
    <w:rsid w:val="7D6CB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EF0F4"/>
  <w15:chartTrackingRefBased/>
  <w15:docId w15:val="{017453B8-F721-4694-A1AE-FB295599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C3"/>
    <w:pPr>
      <w:spacing w:line="252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27C3"/>
    <w:rPr>
      <w:color w:val="0563C1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B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C5ADA"/>
    <w:rPr>
      <w:rFonts w:ascii="Calibri" w:hAnsi="Calibri" w:cs="Calibri"/>
    </w:rPr>
  </w:style>
  <w:style w:type="paragraph" w:styleId="Encabezado">
    <w:name w:val="header"/>
    <w:basedOn w:val="Normal"/>
    <w:link w:val="EncabezadoCar"/>
    <w:unhideWhenUsed/>
    <w:rsid w:val="00B44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4526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44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526"/>
    <w:rPr>
      <w:rFonts w:ascii="Calibri" w:hAnsi="Calibri" w:cs="Calibri"/>
    </w:rPr>
  </w:style>
  <w:style w:type="paragraph" w:customStyle="1" w:styleId="Default">
    <w:name w:val="Default"/>
    <w:rsid w:val="009465F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ERNESTO JARAMILLO ZURITA</dc:creator>
  <cp:keywords/>
  <dc:description/>
  <cp:lastModifiedBy>José Daniel Vázquez</cp:lastModifiedBy>
  <cp:revision>10</cp:revision>
  <cp:lastPrinted>2021-08-27T16:08:00Z</cp:lastPrinted>
  <dcterms:created xsi:type="dcterms:W3CDTF">2024-04-11T17:11:00Z</dcterms:created>
  <dcterms:modified xsi:type="dcterms:W3CDTF">2024-04-12T20:36:00Z</dcterms:modified>
</cp:coreProperties>
</file>